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A3565" w:rsidRDefault="002A3565" w:rsidP="002A3565">
      <w:pPr>
        <w:pStyle w:val="Heading2"/>
      </w:pPr>
      <w:r>
        <w:t>Neg</w:t>
      </w:r>
    </w:p>
    <w:p w:rsidR="00E42E4C" w:rsidRDefault="00A70F3D" w:rsidP="002A3565">
      <w:pPr>
        <w:pStyle w:val="Heading3"/>
      </w:pPr>
      <w:r>
        <w:t>Wilderson Capacity</w:t>
      </w:r>
      <w:r w:rsidR="002A3565">
        <w:t xml:space="preserve"> Impact</w:t>
      </w:r>
      <w:r>
        <w:t xml:space="preserve"> Framing</w:t>
      </w:r>
    </w:p>
    <w:p w:rsidR="00475922" w:rsidRPr="00475922" w:rsidRDefault="00475922" w:rsidP="00475922">
      <w:pPr>
        <w:pStyle w:val="Heading4"/>
      </w:pPr>
      <w:r>
        <w:t xml:space="preserve">There can be no ethics in the presence of the slave – </w:t>
      </w:r>
      <w:r w:rsidR="00D22BCB">
        <w:t xml:space="preserve">non-Black </w:t>
      </w:r>
      <w:r w:rsidR="001E3912">
        <w:t xml:space="preserve">ontological capacity is only possible due to Black incapacity – Black death is a </w:t>
      </w:r>
      <w:r>
        <w:t>prior question</w:t>
      </w:r>
    </w:p>
    <w:p w:rsidR="00475922" w:rsidRDefault="00475922" w:rsidP="00475922">
      <w:r w:rsidRPr="00475922">
        <w:rPr>
          <w:rStyle w:val="Style13ptBold"/>
        </w:rPr>
        <w:t>Wilderson 10</w:t>
      </w:r>
      <w:r>
        <w:t xml:space="preserve"> </w:t>
      </w:r>
      <w:r w:rsidR="00D4574D">
        <w:t xml:space="preserve">(Frank, professor at </w:t>
      </w:r>
      <w:r>
        <w:t>UC Irvine, Red White and Black)</w:t>
      </w:r>
      <w:r w:rsidR="00D4574D">
        <w:t xml:space="preserve"> *irrelevant paragrahs in 4 pt font for clarity</w:t>
      </w:r>
    </w:p>
    <w:p w:rsidR="00475922" w:rsidRPr="00262B47" w:rsidRDefault="00475922" w:rsidP="00475922">
      <w:pPr>
        <w:rPr>
          <w:sz w:val="14"/>
        </w:rPr>
      </w:pPr>
      <w:r w:rsidRPr="008F3F2A">
        <w:rPr>
          <w:rStyle w:val="StyleUnderline"/>
        </w:rPr>
        <w:t>Due to the presence of prior existing relations in a world of contemporaries, no “fear of the fear of the world” is at stake when White theorists meditate ontologically</w:t>
      </w:r>
      <w:r w:rsidRPr="00262B47">
        <w:rPr>
          <w:sz w:val="14"/>
        </w:rPr>
        <w:t xml:space="preserve"> (whether through a cultural object such as film or on a set of intellectual protocols) </w:t>
      </w:r>
      <w:r w:rsidRPr="008F3F2A">
        <w:rPr>
          <w:rStyle w:val="StyleUnderline"/>
        </w:rPr>
        <w:t>and find—as do their Black colleagues—</w:t>
      </w:r>
      <w:r w:rsidRPr="008F3F2A">
        <w:rPr>
          <w:rStyle w:val="Emphasis"/>
        </w:rPr>
        <w:t>capacity everywhere</w:t>
      </w:r>
      <w:r w:rsidRPr="00262B47">
        <w:rPr>
          <w:sz w:val="14"/>
        </w:rPr>
        <w:t xml:space="preserve">. </w:t>
      </w:r>
      <w:r w:rsidRPr="008F3F2A">
        <w:rPr>
          <w:rStyle w:val="StyleUnderline"/>
        </w:rPr>
        <w:t>It would be more accurate to say</w:t>
      </w:r>
      <w:r w:rsidRPr="00262B47">
        <w:rPr>
          <w:sz w:val="14"/>
        </w:rPr>
        <w:t xml:space="preserve"> not that they find capacity everywhere, since they do not look everywhere, but </w:t>
      </w:r>
      <w:r w:rsidRPr="008F3F2A">
        <w:rPr>
          <w:rStyle w:val="StyleUnderline"/>
        </w:rPr>
        <w:t xml:space="preserve">that they find it where they are, among their “contemporaries,” and </w:t>
      </w:r>
      <w:r w:rsidRPr="008F3F2A">
        <w:rPr>
          <w:rStyle w:val="Emphasis"/>
        </w:rPr>
        <w:t>assume its ubiquity</w:t>
      </w:r>
      <w:r w:rsidRPr="00262B47">
        <w:rPr>
          <w:sz w:val="14"/>
        </w:rPr>
        <w:t xml:space="preserve">. Unlike the Negro, there is nothing homeostatic about the White (or other Humans). </w:t>
      </w:r>
      <w:r w:rsidRPr="00895B27">
        <w:rPr>
          <w:rStyle w:val="StyleUnderline"/>
        </w:rPr>
        <w:t>If the Black is death personified, the White is the personification of diversity, of life itself.</w:t>
      </w:r>
      <w:r w:rsidRPr="00262B47">
        <w:rPr>
          <w:sz w:val="14"/>
        </w:rPr>
        <w:t xml:space="preserve"> As Richard Dyer reminds us, “The invisibility of whiteness as a racial position in white … discourse is of a piece with its ubiquity. When I said above that this book wasn’t merely seeking to fill a gap in the analysis of racial imagery, I reproduced the idea that there is no discussion of white people. In fact for </w:t>
      </w:r>
      <w:r w:rsidRPr="00895B27">
        <w:rPr>
          <w:rStyle w:val="StyleUnderline"/>
        </w:rPr>
        <w:t>most of the time white people speak about nothing but white people, it’s just that we couch it in terms of ‘people’ in general…. Yet precisely because of this and their placing as norm [Whites] seem not to be represented to themselves as whites but as people who are variously gendered, classed, sexualised and abled.</w:t>
      </w:r>
      <w:r w:rsidRPr="00262B47">
        <w:rPr>
          <w:sz w:val="14"/>
        </w:rPr>
        <w:t xml:space="preserve">”25 </w:t>
      </w:r>
      <w:r w:rsidRPr="00895B27">
        <w:rPr>
          <w:rStyle w:val="StyleUnderline"/>
        </w:rPr>
        <w:t>Thus the threat of discovering oneself in one’s own scholarly or artistic endeavors as “comparison” is not a fate that awaits White academics.</w:t>
      </w:r>
      <w:r w:rsidRPr="00262B47">
        <w:rPr>
          <w:sz w:val="14"/>
        </w:rPr>
        <w:t xml:space="preserve"> </w:t>
      </w:r>
      <w:r w:rsidRPr="00895B27">
        <w:rPr>
          <w:rStyle w:val="StyleUnderline"/>
        </w:rPr>
        <w:t xml:space="preserve">White academics’ disavowal of </w:t>
      </w:r>
      <w:r w:rsidRPr="00895B27">
        <w:rPr>
          <w:rStyle w:val="Emphasis"/>
        </w:rPr>
        <w:t>Black death as modernity’s condition of possibility</w:t>
      </w:r>
      <w:r w:rsidRPr="00895B27">
        <w:rPr>
          <w:rStyle w:val="StyleUnderline"/>
        </w:rPr>
        <w:t xml:space="preserve"> (their inability to imagine their productive subjectivity as an effect of the Negro)</w:t>
      </w:r>
      <w:r w:rsidRPr="00262B47">
        <w:rPr>
          <w:sz w:val="14"/>
        </w:rPr>
        <w:t xml:space="preserve">26 </w:t>
      </w:r>
      <w:r w:rsidRPr="00895B27">
        <w:rPr>
          <w:rStyle w:val="StyleUnderline"/>
        </w:rPr>
        <w:t>stems not from the unbearable terror of that (non)self-discovery always already awaiting the Black, but from the fact that</w:t>
      </w:r>
      <w:r w:rsidRPr="00262B47">
        <w:rPr>
          <w:sz w:val="14"/>
        </w:rPr>
        <w:t xml:space="preserve">, save brief and infrequent conjunctures of large-scale Black violence (eighteenth- and nineteenth-century slave revolts and twentieth-century “urban unrest”), </w:t>
      </w:r>
      <w:r w:rsidRPr="00895B27">
        <w:rPr>
          <w:rStyle w:val="StyleUnderline"/>
        </w:rPr>
        <w:t>the socius provides no catalyst for White avowal.</w:t>
      </w:r>
      <w:r w:rsidRPr="00262B47">
        <w:rPr>
          <w:sz w:val="14"/>
        </w:rPr>
        <w:t xml:space="preserve"> In short, </w:t>
      </w:r>
      <w:r w:rsidRPr="00895B27">
        <w:rPr>
          <w:rStyle w:val="StyleUnderline"/>
        </w:rPr>
        <w:t>thought—essential, ontological thought—is all but impossible in White cultural and political theory</w:t>
      </w:r>
      <w:r w:rsidRPr="00262B47">
        <w:rPr>
          <w:sz w:val="14"/>
        </w:rPr>
        <w:t xml:space="preserve">—but it is not (as we will see with Monster’s Ball in part 4) impossible in the unconscious of the White film itself. </w:t>
      </w:r>
      <w:r w:rsidRPr="00895B27">
        <w:rPr>
          <w:rStyle w:val="StyleUnderline"/>
        </w:rPr>
        <w:t>This state of affairs</w:t>
      </w:r>
      <w:r w:rsidRPr="00262B47">
        <w:rPr>
          <w:sz w:val="14"/>
        </w:rPr>
        <w:t xml:space="preserve">, the unbearable hydraulics of Black disavowal and the sweetness and light of White disavowal, </w:t>
      </w:r>
      <w:r w:rsidRPr="00895B27">
        <w:rPr>
          <w:rStyle w:val="StyleUnderline"/>
        </w:rPr>
        <w:t>is best encapsulated in the shorthand expression “social stability,” for it guarantees the civility of civil society.</w:t>
      </w:r>
      <w:r w:rsidRPr="00262B47">
        <w:rPr>
          <w:sz w:val="14"/>
        </w:rPr>
        <w:t xml:space="preserve"> Put anecdotally, but nonetheless to the point, when pulled individually by the button, both inmate and guard might be in favor of “criminal rehabilitation,” both might even believe that the warden is a “swell guy,”27 and in their enthusiasm they both might even take for granted that by “criminal” they are speaking of the inmates and not the guards, or for that matter the warden. However, while the shared experiences in the political economy of the prison—a common policy agenda, that is, rehabilitation—or the shared identifications in the libidinal economy of prison—the unconscious captation of both inmate and guard by the image of the warden—may certainly be important to any meditation on either prison economy, they are certainly not essential to such reflection. This means that they cannot break in on the mutually exclusive constituent elements that make the positions of inmate and guard irreconcilable, at least, not with such a force as to rupture that positional exclusivity and bring about the end of the (prison) world. This holds true regardless of the fact that the mobility of symbolic material, that is, the idea of “criminal rehabilitation” and the agreement on who constitutes a criminal, and the mobility of imaginary captation, that is, the image of the warden, are both without limit in their capacity for transgression.</w:t>
      </w:r>
    </w:p>
    <w:p w:rsidR="00475922" w:rsidRPr="0050762E" w:rsidRDefault="00475922" w:rsidP="00475922">
      <w:pPr>
        <w:rPr>
          <w:rStyle w:val="StyleUnderline"/>
        </w:rPr>
      </w:pPr>
      <w:r w:rsidRPr="0050762E">
        <w:rPr>
          <w:rStyle w:val="StyleUnderline"/>
        </w:rPr>
        <w:t>The libidinal economy of modernity and its attendant cartography</w:t>
      </w:r>
      <w:r w:rsidRPr="00262B47">
        <w:rPr>
          <w:sz w:val="14"/>
        </w:rPr>
        <w:t xml:space="preserve"> (the Western Hemisphere, the United States, or civil society as a construct) </w:t>
      </w:r>
      <w:r w:rsidRPr="0050762E">
        <w:rPr>
          <w:rStyle w:val="StyleUnderline"/>
        </w:rPr>
        <w:t>achieves its structure of unconscious exchange by way of a “thanatology” in which Blackness overdetermines the embodiment of impossibility, incoherence, and incapacity.</w:t>
      </w:r>
      <w:r w:rsidRPr="00262B47">
        <w:rPr>
          <w:sz w:val="14"/>
        </w:rPr>
        <w:t xml:space="preserve"> Furthermore, </w:t>
      </w:r>
      <w:r w:rsidRPr="0050762E">
        <w:rPr>
          <w:rStyle w:val="StyleUnderline"/>
        </w:rPr>
        <w:t>political economy achieves its symbolic (political or economic) capacity and structure of preconscious exchange by way of a similar thanatology</w:t>
      </w:r>
      <w:r w:rsidRPr="00262B47">
        <w:rPr>
          <w:sz w:val="14"/>
        </w:rPr>
        <w:t xml:space="preserve">. Judy goes so far as to say that </w:t>
      </w:r>
      <w:r w:rsidRPr="0050762E">
        <w:rPr>
          <w:rStyle w:val="StyleUnderline"/>
        </w:rPr>
        <w:t>at the crux of modernity’s crisis is the dilemma “how to represent the Negro as being demonstrably human within the terms of the law.</w:t>
      </w:r>
      <w:r w:rsidRPr="00262B47">
        <w:rPr>
          <w:sz w:val="14"/>
        </w:rPr>
        <w:t>”28</w:t>
      </w:r>
      <w:r w:rsidRPr="0050762E">
        <w:rPr>
          <w:rStyle w:val="StyleUnderline"/>
        </w:rPr>
        <w:t xml:space="preserve"> Here, of course, he does not mean “law” in a juridical sense but rather “law” as a portal of intelligibility through which one can be said to have the capacity to access “Reason” and thus be recognized and incorporated as a bona fide subject.</w:t>
      </w:r>
    </w:p>
    <w:p w:rsidR="00475922" w:rsidRPr="00262B47" w:rsidRDefault="00475922" w:rsidP="00475922">
      <w:pPr>
        <w:rPr>
          <w:sz w:val="14"/>
        </w:rPr>
      </w:pPr>
      <w:r w:rsidRPr="00262B47">
        <w:rPr>
          <w:sz w:val="14"/>
        </w:rPr>
        <w:t xml:space="preserve">Through Judy’s analysis of the Negro (the slave) as modernity’s necessity (the Other that Humanity is not: “Simple enough one has only not to be a nigger”), that which kick-starts and sustains the production of the Western Hemisphere, we can begin to make the transition from the parasitic necessity of Whiteness in libidinal economy to its parasitic necessity in political economy. </w:t>
      </w:r>
      <w:r w:rsidRPr="0050762E">
        <w:rPr>
          <w:rStyle w:val="StyleUnderline"/>
        </w:rPr>
        <w:t xml:space="preserve">Whiteness is parasitic because it monumentalizes its subjective capacity, its </w:t>
      </w:r>
      <w:r w:rsidRPr="0050762E">
        <w:rPr>
          <w:rStyle w:val="Emphasis"/>
        </w:rPr>
        <w:t>lush cartography</w:t>
      </w:r>
      <w:r w:rsidRPr="0050762E">
        <w:rPr>
          <w:rStyle w:val="StyleUnderline"/>
        </w:rPr>
        <w:t xml:space="preserve">, in </w:t>
      </w:r>
      <w:r w:rsidRPr="0050762E">
        <w:rPr>
          <w:rStyle w:val="Emphasis"/>
        </w:rPr>
        <w:t>direct proportion to the wasteland of Black incapacity</w:t>
      </w:r>
      <w:r w:rsidRPr="0050762E">
        <w:rPr>
          <w:rStyle w:val="StyleUnderline"/>
        </w:rPr>
        <w:t>.</w:t>
      </w:r>
      <w:r w:rsidRPr="00262B47">
        <w:rPr>
          <w:sz w:val="14"/>
        </w:rPr>
        <w:t xml:space="preserve"> </w:t>
      </w:r>
      <w:r w:rsidRPr="0050762E">
        <w:rPr>
          <w:rStyle w:val="StyleUnderline"/>
        </w:rPr>
        <w:t>By “capacity” I have meant something more comprehensive than “the event”</w:t>
      </w:r>
      <w:r w:rsidRPr="00262B47">
        <w:rPr>
          <w:sz w:val="14"/>
        </w:rPr>
        <w:t xml:space="preserve"> and its causal elements and something more indeterminate than “agency.” </w:t>
      </w:r>
      <w:r w:rsidRPr="0050762E">
        <w:rPr>
          <w:rStyle w:val="StyleUnderline"/>
        </w:rPr>
        <w:t>We should think of it as a kind of facility or matrix through which possibility itself—whether tragic or triumphant—can be elaborated</w:t>
      </w:r>
      <w:r w:rsidRPr="00262B47">
        <w:rPr>
          <w:sz w:val="14"/>
        </w:rPr>
        <w:t xml:space="preserve">: the ebb and flow between, on the one hand, “empty speech,” racist actions, repressive laws, and institutional coherence and, on the other hand, “full speech,” armed insurrection, and the institutional ennui. This is what I mean by capacity. It is a far cry from Spillers’s state of “being for the captor” and Judy’s “muted African body,” a far cry from pure abject- or objectness: without thought, without agency, “with no capacity to move.” 29 </w:t>
      </w:r>
      <w:r w:rsidRPr="0050762E">
        <w:rPr>
          <w:rStyle w:val="StyleUnderline"/>
        </w:rPr>
        <w:t>In short, White (Human) capacity, in advance of the event of discrimination or oppression, is parasitic on Black incapacity:</w:t>
      </w:r>
      <w:r w:rsidRPr="00262B47">
        <w:rPr>
          <w:sz w:val="14"/>
        </w:rPr>
        <w:t xml:space="preserve">30 </w:t>
      </w:r>
      <w:r w:rsidRPr="0050762E">
        <w:rPr>
          <w:rStyle w:val="StyleUnderline"/>
        </w:rPr>
        <w:t>Without the Negro, capacity itself is incoherent, uncertain at best</w:t>
      </w:r>
      <w:r w:rsidRPr="00262B47">
        <w:rPr>
          <w:sz w:val="14"/>
        </w:rPr>
        <w:t>.</w:t>
      </w:r>
    </w:p>
    <w:p w:rsidR="00475922" w:rsidRPr="00D4574D" w:rsidRDefault="00475922" w:rsidP="00475922">
      <w:pPr>
        <w:rPr>
          <w:sz w:val="8"/>
          <w:szCs w:val="8"/>
        </w:rPr>
      </w:pPr>
      <w:r w:rsidRPr="00D4574D">
        <w:rPr>
          <w:sz w:val="8"/>
          <w:szCs w:val="8"/>
        </w:rPr>
        <w:t>Where in all of this is the Indian? The “Savage” has been glaringly absent in my preceding meditations on the Master and the Slave, for the same reason that Asians and Latinos are omitted from my study altogether. Latinos and Asians stand in conflictual relation to the Settler/Master, that is, to the hemisphere and the United States writ large—they invoke a politics of culture, not a culture of politics. They do not register as antagonists. But this is only partially true of “Savage” position.</w:t>
      </w:r>
    </w:p>
    <w:p w:rsidR="00475922" w:rsidRPr="00D4574D" w:rsidRDefault="00475922" w:rsidP="00475922">
      <w:pPr>
        <w:rPr>
          <w:sz w:val="8"/>
          <w:szCs w:val="8"/>
        </w:rPr>
      </w:pPr>
      <w:r w:rsidRPr="00D4574D">
        <w:rPr>
          <w:sz w:val="8"/>
          <w:szCs w:val="8"/>
        </w:rPr>
        <w:t>Granted, the “Savage” relation to the Settler by way of libidinal economy’s structure of exchange is far from isomorphic, at the level of content, what Fanon calls “existence.”31 For example, there is indeed important and resounding dissonance between the Indian’s spiritual or divine imagining of the subject in libidinal economy and the Settler/Master’s secular, or psychoanalytic, or even religious imaginings.32 But these differences do not cancel each other out. That is, they are not differences with an antagonistic structure, but differences with a conflictual structure, because articulation, rather than a void, makes the differences legible. In other words, “Savage” capacity is not obliterated by these differences. In fact, its interlocutory life is often fortified and extended by such differences. The modern or postmodern subject alienated in language, on the one hand, and the Great Spirit devotee, or child of Mother Earth, on the other, may in fact be elaborated by different cosmologies,33 predicated on what Vine Deloria Jr. has noted as conflictual visions, but Lacan’s analysand (meaning a subjective capacity for full or empty speech) does not require the Indian as its parasitic host, despite the Indian’s forcible removal to clear a space for the analyst’s office. This is because alienation is essential to both the “Savage” and the Settler’s way of imagining structural positionality, to the way Native American metacommentaries think ontology. Thus, the analysand’s essential capacity for alienation from being (alienation that takes place in language) is not parasitic on the “Savage’s” capacity to be alienated from the spirit world or the land (which for Indians are cosmologically inseparable). Whereas historically, the secular imperialism which made psychoanalytic imaginings possible wreaked havoc on the “Savage” at the level of Fanonian existence, that contact did not wipe out his or her libidinal capacity—or Native metaphysics. This is true not in some empirical sense, for as a Black I have no access to the Indian’s spirit world. I am also barred from subjectivity in even the most revolutionary schemata of White secularism (Lacanian psychoanalysis and Negri’s Marxism). Rather, it is true because the most profound and unflinching metacommentators on the “Savage” and libidinal economy (although Indians would probably replace “libidinal economy” with “spirit world” and “the subject” with “the soul”) and the most unflinching metacommentators on the Settler and libidinal economy say it is true. Having communed around their shared capacity for subjective alienation since the dawn of modernity (what Indians call “contact”), they formed a community of interpretation. Even as Settlers began to wipe Indians out, they were building an interpretive community with “Savages” the likes of which Masters were not building with Slaves.</w:t>
      </w:r>
    </w:p>
    <w:p w:rsidR="00475922" w:rsidRPr="00D4574D" w:rsidRDefault="00475922" w:rsidP="00475922">
      <w:pPr>
        <w:rPr>
          <w:sz w:val="8"/>
          <w:szCs w:val="8"/>
        </w:rPr>
      </w:pPr>
      <w:r w:rsidRPr="00D4574D">
        <w:rPr>
          <w:sz w:val="8"/>
          <w:szCs w:val="8"/>
        </w:rPr>
        <w:t>In the 1530s the Thomist ecclesiastics of the School of Salamanca agreed that Indians possessed subjective dominion in a way that slaves did not. Judy maintains that this claim was made possible on the basis of ethnographic evidence with which Hernán Cortés and others had returned from the “New” World to Spain. For the Thomists and the Spanish explorers,</w:t>
      </w:r>
    </w:p>
    <w:p w:rsidR="00475922" w:rsidRPr="00D4574D" w:rsidRDefault="00475922" w:rsidP="00475922">
      <w:pPr>
        <w:rPr>
          <w:sz w:val="8"/>
          <w:szCs w:val="8"/>
        </w:rPr>
      </w:pPr>
      <w:r w:rsidRPr="00D4574D">
        <w:rPr>
          <w:sz w:val="8"/>
          <w:szCs w:val="8"/>
        </w:rPr>
        <w:t>Indians are humans and not animals…. they possessed a certain rational order in their affairs…. Cortes’s ethnographic data … described a culture with extensive evidence of rationality and civility: a material culture capable of constructing cities of stone, urbanization (society based on the polis), sophisticated and hierarchical social organization, commerce, juridical institutions, and above all highly ritualized religious practice…. Forfeiture of the natural right of dominium, then, would require that the Indian was truly irrational and so in violation of the law of nature. In the face of overwhelming evidence of the Indians’ rationality and civility, even the two most frequently cited acts of abomination held against Indians, cannibalism … and sacrifice[,] … were viewed … as no more than singular temporary aberrations of reason and so not evidence of true irrationality, which made them insufficient grounds for denying the Indians possession of dominium.34</w:t>
      </w:r>
    </w:p>
    <w:p w:rsidR="00475922" w:rsidRPr="00D4574D" w:rsidRDefault="00475922" w:rsidP="00475922">
      <w:pPr>
        <w:rPr>
          <w:sz w:val="8"/>
          <w:szCs w:val="8"/>
        </w:rPr>
      </w:pPr>
      <w:r w:rsidRPr="00D4574D">
        <w:rPr>
          <w:sz w:val="8"/>
          <w:szCs w:val="8"/>
        </w:rPr>
        <w:t>It should be noted that when cannibalism is blackened it is considered to be a genetic predisposition rather than a “temporary aberration of reason.” However compelling the “overwhelming” ethnographic evidence was for the Thomists, the evidence itself is beached on the shore of “existence.” It has no ontological buoyancy. It is not the mechanism through which the Settler—at least in libidinal economy—is freed from performing his necrophilia on the “Savage.” In short, it does not explain the how of this relation. Again, they could have “found” such “overwhelming” ethnographic evidence in Africa, but did not. Judy reminds us that even “Hegel [three hundred years after the School of Salamanca] explicitly exclude[d] Africa from the dialectic, on the grounds of the primitiveness of the Negro.” Judy’s statement in itself is a non sequitur because the Negro is Hegel’s, meaning modernity’s, creation: there is no way to Africa through the Black. What precisely and specifically prompted the communal imaginings in libidinal economy between Settler and “Savage”—but not between Master and Slave, given that modernity’s Settler and Master are one and the same (the Human)—is a question of origins that does not concern me, for it might clarify the historical record at the expense of mystifying paradigmatic relations of power. To know the precise origin of power does not ensure an understanding of its arrangements. What concerns me is a certain will to analogy which the Settler insists on, when thinking the Aztec, but which is lacking in the absolute (by not even being raised to be rejected) when his mind strays to Africa. Such questions as to the why of Carib cannibalism and Aztec sacrifice present epistemological dilemmas, the ecclesiastics, the intellectuals of early modern civil society, had to answer in order for conquest of the Indians to continue: “Vitoria [a leading Salamancan Thomist] based his answer to this question on analogy: the Indians are like children. As dominium is a natural right independent of objective property, children can be said to have dominium, although they may not exercise it properly. In this state of improper use, children are not irrational, but they are unrational, their reason is potential. Instead of being natural slaves, the Indians are a class of natural children, much like the European peasantry.” Analogy, then, is more than a rhetorical device. To be sure, its communal power cannot stop war or stave off conquest and imperialism; in fact, it often evinces generative agency where such transgressions are concerned. But it brokers a community of interpretation between Settler/Master and “Savage” as well as—and this is key—cradles that relation in the swaddling of conflictual harmony and shields the relation from the cold incoherence of antagonism. Analogy delivers the Indian from the wound of irrationality (in favor of unrationality); his or her subjectivity is questioned, and it is this calling into question—the semiotic play, the conflictual harmony—more than the content of that ensemble of questions which enables “productive subjectivity.”35 For though the Indian exists liminally in relation to the Settler, as do the Settler’s children and “his” Old World peasants, he or she remains ontologically possible. That is to say, the “Savage,” unlike the Slave, is half-alive.</w:t>
      </w:r>
    </w:p>
    <w:p w:rsidR="00475922" w:rsidRPr="00D4574D" w:rsidRDefault="00475922" w:rsidP="00475922">
      <w:pPr>
        <w:rPr>
          <w:sz w:val="8"/>
          <w:szCs w:val="8"/>
        </w:rPr>
      </w:pPr>
      <w:r w:rsidRPr="00D4574D">
        <w:rPr>
          <w:sz w:val="8"/>
          <w:szCs w:val="8"/>
        </w:rPr>
        <w:t>The archive of Native American literature which successfully articulates between Native Americans touchstones of spiritual cohesion and the tenets of psychoanalysis, and between Red and White tenets of kinship and domesticity (i.e., lineage vs. marriage), is symptomatic of what I am calling conflictual harmony, emerging as it does through an absence of structural antagonism between the Settler and the “Savage,” at least in the libidinal economy. However, this conflictual harmony is disturbed, possibly ruptured, when the “Savage” is produced in the realm of political economy. Here the “Savage” attains the status of an antagonism: in other words, if the analysand does not require the Indian as the embodiment of Thanatos (death personified) for her or his coherence, then perhaps the proletariat does. This requires apprehension of genocide, as opposed to sovereignty, as the second of the “Savage’s” two positioning modalities.</w:t>
      </w:r>
    </w:p>
    <w:p w:rsidR="00177BF5" w:rsidRPr="00262B47" w:rsidRDefault="00177BF5" w:rsidP="00475922">
      <w:pPr>
        <w:rPr>
          <w:sz w:val="14"/>
        </w:rPr>
      </w:pPr>
      <w:r w:rsidRPr="00262B47">
        <w:rPr>
          <w:sz w:val="14"/>
        </w:rPr>
        <w:t xml:space="preserve">Again, </w:t>
      </w:r>
      <w:r w:rsidRPr="00475922">
        <w:rPr>
          <w:rStyle w:val="StyleUnderline"/>
        </w:rPr>
        <w:t>if accumulation and fungibility are the modalities through which embodied Blackness is positioned as incapacity, then genocide is that modality through which embodied Redness is positioned as incapacity</w:t>
      </w:r>
      <w:r w:rsidRPr="00262B47">
        <w:rPr>
          <w:sz w:val="14"/>
        </w:rPr>
        <w:t xml:space="preserve">. </w:t>
      </w:r>
      <w:r w:rsidRPr="00475922">
        <w:rPr>
          <w:rStyle w:val="StyleUnderline"/>
        </w:rPr>
        <w:t>Ontological incapacity</w:t>
      </w:r>
      <w:r w:rsidRPr="00262B47">
        <w:rPr>
          <w:sz w:val="14"/>
        </w:rPr>
        <w:t xml:space="preserve">, I have inferred and here state forthright, </w:t>
      </w:r>
      <w:r w:rsidRPr="00475922">
        <w:rPr>
          <w:rStyle w:val="StyleUnderline"/>
        </w:rPr>
        <w:t xml:space="preserve">is the </w:t>
      </w:r>
      <w:r w:rsidRPr="00475922">
        <w:rPr>
          <w:rStyle w:val="Emphasis"/>
        </w:rPr>
        <w:t>constituent element of ethics</w:t>
      </w:r>
      <w:r w:rsidRPr="00262B47">
        <w:rPr>
          <w:sz w:val="14"/>
        </w:rPr>
        <w:t xml:space="preserve">. Put another way, </w:t>
      </w:r>
      <w:r w:rsidRPr="00475922">
        <w:rPr>
          <w:rStyle w:val="StyleUnderline"/>
        </w:rPr>
        <w:t>one cannot embody capacity and be, simultaneously, ethical.</w:t>
      </w:r>
      <w:r w:rsidRPr="00262B47">
        <w:rPr>
          <w:sz w:val="14"/>
        </w:rPr>
        <w:t xml:space="preserve"> </w:t>
      </w:r>
      <w:r w:rsidRPr="00475922">
        <w:rPr>
          <w:rStyle w:val="Emphasis"/>
        </w:rPr>
        <w:t>Where there are Slaves it is unethical to be free.</w:t>
      </w:r>
      <w:r w:rsidRPr="00262B47">
        <w:rPr>
          <w:sz w:val="14"/>
        </w:rPr>
        <w:t xml:space="preserve"> </w:t>
      </w:r>
      <w:r w:rsidRPr="00475922">
        <w:rPr>
          <w:rStyle w:val="StyleUnderline"/>
        </w:rPr>
        <w:t>The Settler/Master’s capacity</w:t>
      </w:r>
      <w:r w:rsidRPr="00262B47">
        <w:rPr>
          <w:sz w:val="14"/>
        </w:rPr>
        <w:t xml:space="preserve">, I have argued, </w:t>
      </w:r>
      <w:r w:rsidRPr="00475922">
        <w:rPr>
          <w:rStyle w:val="StyleUnderline"/>
        </w:rPr>
        <w:t>is a function of exploitation and alienation; and the Slave’s incapacity is elaborated by accumulation and fungibility</w:t>
      </w:r>
      <w:r w:rsidRPr="00262B47">
        <w:rPr>
          <w:sz w:val="14"/>
        </w:rPr>
        <w:t xml:space="preserve">. But the “Savage” is positioned, structurally, by subjective capacity and objective incapacity, by sovereignty and genocide, respectively. The Indian’s liminal status in political economy, how her or his position shuttles between the incapacity of a genocided object and the capacity of a sovereign subject, coupled with the fact that Redness does not overdetermine the thanatology of libidinal economy (this liminal capacity within political economy and complete freedom from incapacity within libidinal economy) raises serious doubts about the status of “Savage” ethicality vis-à-vis the triangulated structure (Red, White, and Black) of antagonisms. Clearly, </w:t>
      </w:r>
      <w:r w:rsidRPr="00475922">
        <w:rPr>
          <w:rStyle w:val="StyleUnderline"/>
        </w:rPr>
        <w:t>the coherence of Whiteness as a structural position in modernity d</w:t>
      </w:r>
      <w:r w:rsidR="00475922" w:rsidRPr="00475922">
        <w:rPr>
          <w:rStyle w:val="StyleUnderline"/>
        </w:rPr>
        <w:t xml:space="preserve">epends on the </w:t>
      </w:r>
      <w:r w:rsidR="00475922" w:rsidRPr="00475922">
        <w:rPr>
          <w:rStyle w:val="Emphasis"/>
        </w:rPr>
        <w:t>capacity to be free from genocide</w:t>
      </w:r>
      <w:r w:rsidR="00475922" w:rsidRPr="00475922">
        <w:rPr>
          <w:rStyle w:val="StyleUnderline"/>
        </w:rPr>
        <w:t>, perhaps not as a historical experience, but at least as a positioning modality.</w:t>
      </w:r>
      <w:r w:rsidR="00475922" w:rsidRPr="00262B47">
        <w:rPr>
          <w:sz w:val="14"/>
        </w:rPr>
        <w:t xml:space="preserve"> This embodied capacity (genocidal immunity) of Whiteness jettisons the White/Red relation from that of a conflict and marks it as an antagonism: it stains it with irreconcilability. Here, the Indian comes into being and is positioned by an a priori violence of genocide.</w:t>
      </w:r>
    </w:p>
    <w:p w:rsidR="002A3565" w:rsidRDefault="002A3565" w:rsidP="002A3565">
      <w:pPr>
        <w:pStyle w:val="Heading3"/>
      </w:pPr>
      <w:r>
        <w:t xml:space="preserve">Warren Ethics </w:t>
      </w:r>
      <w:r w:rsidR="00A70F3D">
        <w:t xml:space="preserve">Impact </w:t>
      </w:r>
      <w:bookmarkStart w:id="0" w:name="_GoBack"/>
      <w:bookmarkEnd w:id="0"/>
      <w:r>
        <w:t>Framing</w:t>
      </w:r>
    </w:p>
    <w:p w:rsidR="0057370B" w:rsidRPr="0057370B" w:rsidRDefault="0057370B" w:rsidP="0057370B">
      <w:pPr>
        <w:pStyle w:val="Heading4"/>
      </w:pPr>
      <w:r>
        <w:t>Antiblack violence constitutes the Real of ontology that renders their ethics coherent</w:t>
      </w:r>
    </w:p>
    <w:p w:rsidR="0057370B" w:rsidRPr="005E5B5A" w:rsidRDefault="0057370B" w:rsidP="0057370B">
      <w:r w:rsidRPr="00687FFE">
        <w:rPr>
          <w:rStyle w:val="Style13ptBold"/>
        </w:rPr>
        <w:t>Warren 13</w:t>
      </w:r>
      <w:r>
        <w:t xml:space="preserve"> (Calvin, Prof at GWU, Onticide: Afropessimism, Queer Theory, &amp; Ethics, accessed online)</w:t>
      </w:r>
    </w:p>
    <w:p w:rsidR="0057370B" w:rsidRPr="00112EB2" w:rsidRDefault="0057370B" w:rsidP="0057370B">
      <w:pPr>
        <w:rPr>
          <w:sz w:val="16"/>
        </w:rPr>
      </w:pPr>
      <w:r w:rsidRPr="0057370B">
        <w:rPr>
          <w:rStyle w:val="StyleUnderline"/>
        </w:rPr>
        <w:t>The violence that constitutes the human and produces suffering is sustained through an</w:t>
      </w:r>
      <w:r w:rsidRPr="0057370B">
        <w:rPr>
          <w:sz w:val="16"/>
        </w:rPr>
        <w:t xml:space="preserve"> </w:t>
      </w:r>
      <w:r w:rsidRPr="0057370B">
        <w:rPr>
          <w:rStyle w:val="Emphasis"/>
        </w:rPr>
        <w:t>ontological antagonism</w:t>
      </w:r>
      <w:r w:rsidRPr="0057370B">
        <w:rPr>
          <w:sz w:val="16"/>
        </w:rPr>
        <w:t xml:space="preserve">. </w:t>
      </w:r>
      <w:r w:rsidRPr="0057370B">
        <w:rPr>
          <w:rStyle w:val="StyleUnderline"/>
        </w:rPr>
        <w:t>The boundaries of the human are shored-up by this antagonism</w:t>
      </w:r>
      <w:r w:rsidRPr="0057370B">
        <w:rPr>
          <w:sz w:val="16"/>
        </w:rPr>
        <w:t xml:space="preserve"> and without it, the human, and the world within which it lives, would cease to exist. </w:t>
      </w:r>
      <w:r w:rsidRPr="0057370B">
        <w:rPr>
          <w:rStyle w:val="Emphasis"/>
        </w:rPr>
        <w:t>The non-ontology of blackness secures the boundaries of the human</w:t>
      </w:r>
      <w:r w:rsidRPr="0057370B">
        <w:rPr>
          <w:sz w:val="16"/>
        </w:rPr>
        <w:t xml:space="preserve">; </w:t>
      </w:r>
      <w:r w:rsidRPr="0057370B">
        <w:rPr>
          <w:rStyle w:val="StyleUnderline"/>
        </w:rPr>
        <w:t>it delimits the coordinates of the human</w:t>
      </w:r>
      <w:r w:rsidRPr="0057370B">
        <w:rPr>
          <w:sz w:val="16"/>
        </w:rPr>
        <w:t xml:space="preserve">. </w:t>
      </w:r>
      <w:r w:rsidRPr="0057370B">
        <w:rPr>
          <w:rStyle w:val="Emphasis"/>
        </w:rPr>
        <w:t>Blackness is an exclusion that enables ontology</w:t>
      </w:r>
      <w:r w:rsidRPr="0057370B">
        <w:rPr>
          <w:sz w:val="16"/>
        </w:rPr>
        <w:t xml:space="preserve">. </w:t>
      </w:r>
      <w:r w:rsidRPr="0057370B">
        <w:rPr>
          <w:rStyle w:val="StyleUnderline"/>
        </w:rPr>
        <w:t xml:space="preserve">In its exclusion from the realm of ontology, blackness is </w:t>
      </w:r>
      <w:r w:rsidRPr="0057370B">
        <w:rPr>
          <w:rStyle w:val="Emphasis"/>
        </w:rPr>
        <w:t>un-thinkable</w:t>
      </w:r>
      <w:r w:rsidRPr="0057370B">
        <w:rPr>
          <w:sz w:val="16"/>
        </w:rPr>
        <w:t xml:space="preserve">, innominate, and paradoxical. In essence, </w:t>
      </w:r>
      <w:r w:rsidRPr="0057370B">
        <w:rPr>
          <w:rStyle w:val="StyleUnderline"/>
        </w:rPr>
        <w:t>blackness exists to not exist</w:t>
      </w:r>
      <w:r w:rsidRPr="0057370B">
        <w:rPr>
          <w:sz w:val="16"/>
        </w:rPr>
        <w:t xml:space="preserve"> —</w:t>
      </w:r>
      <w:r w:rsidRPr="0057370B">
        <w:rPr>
          <w:rStyle w:val="StyleUnderline"/>
        </w:rPr>
        <w:t>it embodies the most perplexing paradox that sustains ontology</w:t>
      </w:r>
      <w:r w:rsidRPr="0057370B">
        <w:rPr>
          <w:sz w:val="16"/>
        </w:rPr>
        <w:t xml:space="preserve"> (or in psychoanalytic terms it is </w:t>
      </w:r>
      <w:r w:rsidRPr="0057370B">
        <w:rPr>
          <w:rStyle w:val="Emphasis"/>
        </w:rPr>
        <w:t>the Real of ontology</w:t>
      </w:r>
      <w:r w:rsidRPr="0057370B">
        <w:rPr>
          <w:sz w:val="16"/>
        </w:rPr>
        <w:t xml:space="preserve">). </w:t>
      </w:r>
      <w:r w:rsidRPr="0057370B">
        <w:rPr>
          <w:rStyle w:val="Emphasis"/>
        </w:rPr>
        <w:t>The fi</w:t>
      </w:r>
      <w:r w:rsidRPr="0057370B">
        <w:rPr>
          <w:rStyle w:val="Emphasis"/>
          <w:rFonts w:hint="eastAsia"/>
        </w:rPr>
        <w:t xml:space="preserve">eld of Ethics, then, conceals a dirty secret: the ontological ground </w:t>
      </w:r>
      <w:r w:rsidRPr="0057370B">
        <w:rPr>
          <w:rStyle w:val="Emphasis"/>
        </w:rPr>
        <w:t>upon which it is situated is unethical</w:t>
      </w:r>
      <w:r w:rsidRPr="0057370B">
        <w:rPr>
          <w:sz w:val="16"/>
        </w:rPr>
        <w:t xml:space="preserve">. </w:t>
      </w:r>
      <w:r w:rsidRPr="0057370B">
        <w:rPr>
          <w:rStyle w:val="Emphasis"/>
          <w:sz w:val="28"/>
        </w:rPr>
        <w:t>Ethics subverts itself, but it can only exist through this very subversion</w:t>
      </w:r>
      <w:r w:rsidRPr="0057370B">
        <w:rPr>
          <w:sz w:val="16"/>
        </w:rPr>
        <w:t xml:space="preserve">. </w:t>
      </w:r>
      <w:r w:rsidRPr="0057370B">
        <w:rPr>
          <w:rStyle w:val="StyleUnderline"/>
        </w:rPr>
        <w:t xml:space="preserve">All ethical discourses organized around the </w:t>
      </w:r>
      <w:r w:rsidRPr="0057370B">
        <w:rPr>
          <w:rStyle w:val="Emphasis"/>
          <w:sz w:val="24"/>
        </w:rPr>
        <w:t>elimination of suffering</w:t>
      </w:r>
      <w:r w:rsidRPr="0057370B">
        <w:rPr>
          <w:rStyle w:val="StyleUnderline"/>
          <w:sz w:val="24"/>
        </w:rPr>
        <w:t xml:space="preserve"> </w:t>
      </w:r>
      <w:r w:rsidRPr="0057370B">
        <w:rPr>
          <w:rStyle w:val="StyleUnderline"/>
        </w:rPr>
        <w:t xml:space="preserve">or the </w:t>
      </w:r>
      <w:r w:rsidRPr="0057370B">
        <w:rPr>
          <w:rStyle w:val="Emphasis"/>
          <w:sz w:val="24"/>
        </w:rPr>
        <w:t>experiences of freedom</w:t>
      </w:r>
      <w:r w:rsidRPr="0057370B">
        <w:rPr>
          <w:sz w:val="18"/>
        </w:rPr>
        <w:t xml:space="preserve"> </w:t>
      </w:r>
      <w:r w:rsidRPr="0057370B">
        <w:rPr>
          <w:rStyle w:val="StyleUnderline"/>
        </w:rPr>
        <w:t xml:space="preserve">are </w:t>
      </w:r>
      <w:r w:rsidRPr="0057370B">
        <w:rPr>
          <w:rStyle w:val="Emphasis"/>
        </w:rPr>
        <w:t>imbricated in this unethicality</w:t>
      </w:r>
      <w:r w:rsidRPr="0057370B">
        <w:rPr>
          <w:sz w:val="16"/>
        </w:rPr>
        <w:t xml:space="preserve">. </w:t>
      </w:r>
      <w:r w:rsidRPr="0057370B">
        <w:rPr>
          <w:rStyle w:val="Emphasis"/>
        </w:rPr>
        <w:t>Blackness is both the life and death of humanism and its ethics</w:t>
      </w:r>
      <w:r w:rsidRPr="0057370B">
        <w:rPr>
          <w:sz w:val="16"/>
        </w:rPr>
        <w:t xml:space="preserve">, and </w:t>
      </w:r>
      <w:r w:rsidRPr="0057370B">
        <w:rPr>
          <w:rStyle w:val="StyleUnderline"/>
        </w:rPr>
        <w:t>for this reason, it lacks a legible grammar to articulate this dread</w:t>
      </w:r>
      <w:r w:rsidRPr="0057370B">
        <w:rPr>
          <w:sz w:val="16"/>
        </w:rPr>
        <w:t xml:space="preserve">. </w:t>
      </w:r>
      <w:r w:rsidRPr="0057370B">
        <w:rPr>
          <w:rStyle w:val="StyleUnderline"/>
        </w:rPr>
        <w:t>It is an</w:t>
      </w:r>
      <w:r w:rsidRPr="0057370B">
        <w:rPr>
          <w:sz w:val="16"/>
        </w:rPr>
        <w:t xml:space="preserve"> </w:t>
      </w:r>
      <w:r w:rsidRPr="0057370B">
        <w:rPr>
          <w:rStyle w:val="Emphasis"/>
        </w:rPr>
        <w:t>incomprehensible suffering</w:t>
      </w:r>
      <w:r w:rsidRPr="0057370B">
        <w:rPr>
          <w:sz w:val="16"/>
        </w:rPr>
        <w:t xml:space="preserve">, or </w:t>
      </w:r>
      <w:r w:rsidRPr="0057370B">
        <w:rPr>
          <w:rStyle w:val="StyleUnderline"/>
        </w:rPr>
        <w:t>an</w:t>
      </w:r>
      <w:r w:rsidRPr="0057370B">
        <w:rPr>
          <w:sz w:val="16"/>
        </w:rPr>
        <w:t xml:space="preserve"> </w:t>
      </w:r>
      <w:r w:rsidRPr="0057370B">
        <w:rPr>
          <w:rStyle w:val="Emphasis"/>
        </w:rPr>
        <w:t>unending injury not understood as legitimate injury</w:t>
      </w:r>
      <w:r w:rsidRPr="0057370B">
        <w:rPr>
          <w:sz w:val="16"/>
        </w:rPr>
        <w:t xml:space="preserve">. </w:t>
      </w:r>
      <w:r w:rsidRPr="0057370B">
        <w:rPr>
          <w:rStyle w:val="StyleUnderline"/>
        </w:rPr>
        <w:t xml:space="preserve">To take matters further, </w:t>
      </w:r>
      <w:r w:rsidRPr="0057370B">
        <w:rPr>
          <w:rStyle w:val="Emphasis"/>
        </w:rPr>
        <w:t>there would be no human suffering without the prior exclusion of blackness</w:t>
      </w:r>
      <w:r w:rsidRPr="00112EB2">
        <w:rPr>
          <w:sz w:val="16"/>
        </w:rPr>
        <w:t xml:space="preserve">, </w:t>
      </w:r>
      <w:r w:rsidRPr="00112EB2">
        <w:rPr>
          <w:rStyle w:val="StyleUnderline"/>
        </w:rPr>
        <w:t xml:space="preserve">but </w:t>
      </w:r>
      <w:r w:rsidRPr="00112EB2">
        <w:rPr>
          <w:rStyle w:val="Emphasis"/>
        </w:rPr>
        <w:t>there would also be no world or human without this exclusion either</w:t>
      </w:r>
      <w:r w:rsidRPr="00112EB2">
        <w:rPr>
          <w:sz w:val="16"/>
        </w:rPr>
        <w:t>. It is an unresolvable antagonism. [2]</w:t>
      </w:r>
    </w:p>
    <w:p w:rsidR="0057370B" w:rsidRPr="0057370B" w:rsidRDefault="0057370B" w:rsidP="0057370B"/>
    <w:p w:rsidR="002A3565" w:rsidRDefault="002A3565" w:rsidP="002A3565">
      <w:pPr>
        <w:pStyle w:val="Heading2"/>
      </w:pPr>
      <w:r>
        <w:t>Aff</w:t>
      </w:r>
    </w:p>
    <w:p w:rsidR="002A3565" w:rsidRPr="00116460" w:rsidRDefault="00944B44" w:rsidP="002A3565">
      <w:pPr>
        <w:pStyle w:val="Heading3"/>
      </w:pPr>
      <w:r w:rsidRPr="00116460">
        <w:t>Perm</w:t>
      </w:r>
    </w:p>
    <w:p w:rsidR="00944B44" w:rsidRPr="00116460" w:rsidRDefault="00944B44" w:rsidP="00944B44">
      <w:pPr>
        <w:pStyle w:val="Heading4"/>
      </w:pPr>
      <w:r w:rsidRPr="00116460">
        <w:t>Perm do the plan the combat apathy to antiblackness – Their alt keeps pessimism grounded in the university. Only pushing pessimism outside the university by fighting for new forms of protection prevents the devaluation of life. Only the perm escapes the binary of pessimism vs optimism which disempowers resistance</w:t>
      </w:r>
    </w:p>
    <w:p w:rsidR="00944B44" w:rsidRPr="00116460" w:rsidRDefault="00944B44" w:rsidP="00944B44">
      <w:r w:rsidRPr="00116460">
        <w:rPr>
          <w:rStyle w:val="Style13ptBold"/>
        </w:rPr>
        <w:t>Syedullah 17</w:t>
      </w:r>
      <w:r w:rsidRPr="00116460">
        <w:t xml:space="preserve"> - (citing James Baldwin, Jasmine, Professor @ Vassar College,  “Afro pessimism,” Critical Exchange, Contemporary Political Theory, pp 1–33, Springer)</w:t>
      </w:r>
    </w:p>
    <w:p w:rsidR="00944B44" w:rsidRPr="00944B44" w:rsidRDefault="00944B44" w:rsidP="00944B44">
      <w:pPr>
        <w:rPr>
          <w:sz w:val="14"/>
        </w:rPr>
      </w:pPr>
      <w:r w:rsidRPr="00116460">
        <w:rPr>
          <w:sz w:val="14"/>
        </w:rPr>
        <w:t>Prophetic despair, such as that which Baldwin expresses in an often quoted interview between James Baldwin Dr. Kenneth Clark in May of 1963, presses on the material cohesion of our moral infrastructure. In the interview Baldwin professes to remaining pessimistic with regard to his own life when he says, ‘‘It doesn’t matter any longer what you do to me; you can put me in jail, you can kill me. By the time I was 17, you’d done everything that you could do to me. The problem now is, how are you going to save yourselves?’’ He goes on a bit later to refuse, in no uncertain term, pessimism as a politics of the future. When Clark asks, ‘‘Jim, what do you see deep in the recesses of your own mind as the future of our nation, … I think that the future of the Negro and the future of the nation are linked … What do you see?,’’ Baldwin replies, ‘‘</w:t>
      </w:r>
      <w:r w:rsidRPr="00116460">
        <w:rPr>
          <w:rStyle w:val="StyleUnderline"/>
        </w:rPr>
        <w:t>I can’t be a pessimist because I’m alive. To be a pessimist means that you have agreed that human life is an academic matter, so I’m forced to be an optimist.</w:t>
      </w:r>
      <w:r w:rsidRPr="00116460">
        <w:rPr>
          <w:sz w:val="14"/>
        </w:rPr>
        <w:t xml:space="preserve"> </w:t>
      </w:r>
      <w:r w:rsidRPr="00116460">
        <w:rPr>
          <w:rStyle w:val="StyleUnderline"/>
        </w:rPr>
        <w:t>I’m forced to believe that we can survive whatever we must survive</w:t>
      </w:r>
      <w:r w:rsidRPr="00116460">
        <w:rPr>
          <w:sz w:val="14"/>
        </w:rPr>
        <w:t xml:space="preserve">. But the future of the Negro in this country is precisely as bright or as dark as the future of the country (Clark et al., 1963). </w:t>
      </w:r>
      <w:r w:rsidRPr="00116460">
        <w:rPr>
          <w:rStyle w:val="StyleUnderline"/>
        </w:rPr>
        <w:t xml:space="preserve">I want to savor the </w:t>
      </w:r>
      <w:r w:rsidRPr="00116460">
        <w:rPr>
          <w:rStyle w:val="Emphasis"/>
        </w:rPr>
        <w:t>tensions</w:t>
      </w:r>
      <w:r w:rsidRPr="00116460">
        <w:rPr>
          <w:sz w:val="14"/>
        </w:rPr>
        <w:t xml:space="preserve"> of Baldwin’s response. </w:t>
      </w:r>
      <w:r w:rsidRPr="00116460">
        <w:rPr>
          <w:rStyle w:val="StyleUnderline"/>
        </w:rPr>
        <w:t xml:space="preserve">I want to hold them, </w:t>
      </w:r>
      <w:r w:rsidRPr="00116460">
        <w:rPr>
          <w:rStyle w:val="Emphasis"/>
        </w:rPr>
        <w:t>not resolve them</w:t>
      </w:r>
      <w:r w:rsidRPr="00116460">
        <w:rPr>
          <w:rStyle w:val="StyleUnderline"/>
        </w:rPr>
        <w:t>, and observe how they situate</w:t>
      </w:r>
      <w:r w:rsidRPr="00116460">
        <w:rPr>
          <w:sz w:val="14"/>
        </w:rPr>
        <w:t xml:space="preserve"> pedestrian personal </w:t>
      </w:r>
      <w:r w:rsidRPr="00116460">
        <w:rPr>
          <w:rStyle w:val="StyleUnderline"/>
        </w:rPr>
        <w:t xml:space="preserve">pessimism </w:t>
      </w:r>
      <w:r w:rsidRPr="00116460">
        <w:rPr>
          <w:rStyle w:val="Emphasis"/>
        </w:rPr>
        <w:t>outside the movement for black life</w:t>
      </w:r>
      <w:r w:rsidRPr="00116460">
        <w:rPr>
          <w:rStyle w:val="StyleUnderline"/>
        </w:rPr>
        <w:t>,</w:t>
      </w:r>
      <w:r w:rsidRPr="00116460">
        <w:rPr>
          <w:sz w:val="14"/>
        </w:rPr>
        <w:t xml:space="preserve"> while </w:t>
      </w:r>
      <w:r w:rsidRPr="00116460">
        <w:rPr>
          <w:rStyle w:val="Emphasis"/>
        </w:rPr>
        <w:t>calling out the limits</w:t>
      </w:r>
      <w:r w:rsidRPr="00116460">
        <w:rPr>
          <w:rStyle w:val="StyleUnderline"/>
        </w:rPr>
        <w:t xml:space="preserve"> of a political process propelled and legitimated by white supremacy.</w:t>
      </w:r>
      <w:r w:rsidRPr="00116460">
        <w:rPr>
          <w:sz w:val="14"/>
        </w:rPr>
        <w:t xml:space="preserve"> Even insofar as </w:t>
      </w:r>
      <w:r w:rsidRPr="00116460">
        <w:rPr>
          <w:rStyle w:val="StyleUnderline"/>
        </w:rPr>
        <w:t>pessimism</w:t>
      </w:r>
      <w:r w:rsidRPr="00116460">
        <w:rPr>
          <w:sz w:val="14"/>
        </w:rPr>
        <w:t xml:space="preserve"> is a social expression of the affective limits of social death, a feeling that </w:t>
      </w:r>
      <w:r w:rsidRPr="00116460">
        <w:rPr>
          <w:rStyle w:val="StyleUnderline"/>
        </w:rPr>
        <w:t>brings us</w:t>
      </w:r>
      <w:r w:rsidRPr="00116460">
        <w:rPr>
          <w:sz w:val="14"/>
        </w:rPr>
        <w:t xml:space="preserve"> back to life, out of isolation, and </w:t>
      </w:r>
      <w:r w:rsidRPr="00116460">
        <w:rPr>
          <w:rStyle w:val="Emphasis"/>
        </w:rPr>
        <w:t>into conversation with each other</w:t>
      </w:r>
      <w:r w:rsidRPr="00116460">
        <w:rPr>
          <w:sz w:val="14"/>
        </w:rPr>
        <w:t xml:space="preserve"> the promise of pessimism is </w:t>
      </w:r>
      <w:r w:rsidRPr="00116460">
        <w:rPr>
          <w:rStyle w:val="StyleUnderline"/>
        </w:rPr>
        <w:t>clearly far more than an academic matter</w:t>
      </w:r>
      <w:r w:rsidRPr="00116460">
        <w:rPr>
          <w:sz w:val="14"/>
        </w:rPr>
        <w:t xml:space="preserve">. </w:t>
      </w:r>
      <w:r w:rsidRPr="00116460">
        <w:rPr>
          <w:rStyle w:val="StyleUnderline"/>
        </w:rPr>
        <w:t>The antithesis of pessimism</w:t>
      </w:r>
      <w:r w:rsidRPr="00116460">
        <w:rPr>
          <w:sz w:val="14"/>
        </w:rPr>
        <w:t xml:space="preserve"> in this instance </w:t>
      </w:r>
      <w:r w:rsidRPr="00116460">
        <w:rPr>
          <w:rStyle w:val="Emphasis"/>
        </w:rPr>
        <w:t>is not optimism but apathy</w:t>
      </w:r>
      <w:r w:rsidRPr="00116460">
        <w:rPr>
          <w:rStyle w:val="StyleUnderline"/>
        </w:rPr>
        <w:t>, willful passive acceptance of the</w:t>
      </w:r>
      <w:r w:rsidRPr="00116460">
        <w:rPr>
          <w:sz w:val="14"/>
        </w:rPr>
        <w:t xml:space="preserve"> untenable </w:t>
      </w:r>
      <w:r w:rsidRPr="00116460">
        <w:rPr>
          <w:rStyle w:val="StyleUnderline"/>
        </w:rPr>
        <w:t>conditions of a people</w:t>
      </w:r>
      <w:r w:rsidRPr="00116460">
        <w:rPr>
          <w:sz w:val="14"/>
        </w:rPr>
        <w:t xml:space="preserve"> </w:t>
      </w:r>
      <w:r w:rsidRPr="00116460">
        <w:rPr>
          <w:rStyle w:val="StyleUnderline"/>
        </w:rPr>
        <w:t>systemically</w:t>
      </w:r>
      <w:r w:rsidRPr="00116460">
        <w:rPr>
          <w:sz w:val="14"/>
        </w:rPr>
        <w:t xml:space="preserve"> and forcibly </w:t>
      </w:r>
      <w:r w:rsidRPr="00116460">
        <w:rPr>
          <w:rStyle w:val="StyleUnderline"/>
        </w:rPr>
        <w:t>made to understand that there are some whose existence is</w:t>
      </w:r>
      <w:r w:rsidRPr="00116460">
        <w:rPr>
          <w:sz w:val="14"/>
        </w:rPr>
        <w:t xml:space="preserve"> at best </w:t>
      </w:r>
      <w:r w:rsidRPr="00116460">
        <w:rPr>
          <w:rStyle w:val="StyleUnderline"/>
        </w:rPr>
        <w:t>immaterial</w:t>
      </w:r>
      <w:r w:rsidRPr="00116460">
        <w:rPr>
          <w:sz w:val="14"/>
        </w:rPr>
        <w:t xml:space="preserve"> and at worst a clear and present danger, and </w:t>
      </w:r>
      <w:r w:rsidRPr="00116460">
        <w:rPr>
          <w:rStyle w:val="StyleUnderline"/>
        </w:rPr>
        <w:t>then there are those lives that do matter</w:t>
      </w:r>
      <w:r w:rsidRPr="00116460">
        <w:rPr>
          <w:sz w:val="14"/>
        </w:rPr>
        <w:t xml:space="preserve">. What we have been witnessing in the activist and academic movements for black life is the implosion of identity politics and the failure of its possessive claims to liberal demands for rights and protection. The abolition of whiteness demands a kind of justice the state may not yet know how to sanction. As Patrisse Cullors (2015), one of three original founders of #BLM, argues, ‘‘I believe we can’t wait on the State to take care of our Black lives. </w:t>
      </w:r>
      <w:r w:rsidRPr="00116460">
        <w:rPr>
          <w:rStyle w:val="StyleUnderline"/>
        </w:rPr>
        <w:t>We have to show up</w:t>
      </w:r>
      <w:r w:rsidRPr="00116460">
        <w:rPr>
          <w:sz w:val="14"/>
        </w:rPr>
        <w:t xml:space="preserve"> now </w:t>
      </w:r>
      <w:r w:rsidRPr="00116460">
        <w:rPr>
          <w:rStyle w:val="StyleUnderline"/>
        </w:rPr>
        <w:t>to build the world we want</w:t>
      </w:r>
      <w:r w:rsidRPr="00116460">
        <w:rPr>
          <w:sz w:val="14"/>
        </w:rPr>
        <w:t xml:space="preserve"> to see.’’ </w:t>
      </w:r>
      <w:r w:rsidRPr="00116460">
        <w:rPr>
          <w:rStyle w:val="StyleUnderline"/>
        </w:rPr>
        <w:t xml:space="preserve">Thinking </w:t>
      </w:r>
      <w:r w:rsidRPr="00116460">
        <w:rPr>
          <w:sz w:val="14"/>
        </w:rPr>
        <w:t xml:space="preserve">the purchase of the </w:t>
      </w:r>
      <w:r w:rsidRPr="00116460">
        <w:rPr>
          <w:rStyle w:val="StyleUnderline"/>
        </w:rPr>
        <w:t>pessimistic prophetically</w:t>
      </w:r>
      <w:r w:rsidRPr="00116460">
        <w:rPr>
          <w:sz w:val="14"/>
        </w:rPr>
        <w:t xml:space="preserve"> then, </w:t>
      </w:r>
      <w:r w:rsidRPr="00116460">
        <w:rPr>
          <w:rStyle w:val="StyleUnderline"/>
        </w:rPr>
        <w:t>as</w:t>
      </w:r>
      <w:r w:rsidRPr="00116460">
        <w:rPr>
          <w:sz w:val="14"/>
        </w:rPr>
        <w:t xml:space="preserve"> a residual, inevitable, yet </w:t>
      </w:r>
      <w:r w:rsidRPr="00116460">
        <w:rPr>
          <w:rStyle w:val="Emphasis"/>
        </w:rPr>
        <w:t>generative</w:t>
      </w:r>
      <w:r w:rsidRPr="00116460">
        <w:rPr>
          <w:sz w:val="14"/>
        </w:rPr>
        <w:t xml:space="preserve"> practice of the black prophetic tradition </w:t>
      </w:r>
      <w:r w:rsidRPr="00116460">
        <w:rPr>
          <w:rStyle w:val="StyleUnderline"/>
        </w:rPr>
        <w:t xml:space="preserve">with </w:t>
      </w:r>
      <w:r w:rsidRPr="00116460">
        <w:rPr>
          <w:rStyle w:val="Emphasis"/>
        </w:rPr>
        <w:t>reparative</w:t>
      </w:r>
      <w:r w:rsidRPr="00116460">
        <w:rPr>
          <w:rStyle w:val="StyleUnderline"/>
        </w:rPr>
        <w:t xml:space="preserve"> properties</w:t>
      </w:r>
      <w:r w:rsidRPr="00116460">
        <w:rPr>
          <w:sz w:val="14"/>
        </w:rPr>
        <w:t xml:space="preserve"> </w:t>
      </w:r>
      <w:r w:rsidRPr="00116460">
        <w:rPr>
          <w:rStyle w:val="StyleUnderline"/>
        </w:rPr>
        <w:t>that</w:t>
      </w:r>
      <w:r w:rsidRPr="00116460">
        <w:rPr>
          <w:sz w:val="14"/>
        </w:rPr>
        <w:t xml:space="preserve"> precede and </w:t>
      </w:r>
      <w:r w:rsidRPr="00116460">
        <w:rPr>
          <w:rStyle w:val="StyleUnderline"/>
        </w:rPr>
        <w:t>exceed Afro-pessimism’s</w:t>
      </w:r>
      <w:r w:rsidRPr="00116460">
        <w:rPr>
          <w:sz w:val="14"/>
        </w:rPr>
        <w:t xml:space="preserve"> formal </w:t>
      </w:r>
      <w:r w:rsidRPr="00116460">
        <w:rPr>
          <w:rStyle w:val="StyleUnderline"/>
        </w:rPr>
        <w:t>incorporation into scholarly</w:t>
      </w:r>
      <w:r w:rsidRPr="00116460">
        <w:rPr>
          <w:sz w:val="14"/>
        </w:rPr>
        <w:t xml:space="preserve"> journals and </w:t>
      </w:r>
      <w:r w:rsidRPr="00116460">
        <w:rPr>
          <w:rStyle w:val="StyleUnderline"/>
        </w:rPr>
        <w:t>conferences</w:t>
      </w:r>
      <w:r w:rsidRPr="00116460">
        <w:rPr>
          <w:sz w:val="14"/>
        </w:rPr>
        <w:t xml:space="preserve">, I find myself constantly reminding my students that </w:t>
      </w:r>
      <w:r w:rsidRPr="00116460">
        <w:rPr>
          <w:rStyle w:val="StyleUnderline"/>
        </w:rPr>
        <w:t xml:space="preserve">while we can take the analysis of power Afro-pessimism offers and run with it, </w:t>
      </w:r>
      <w:r w:rsidRPr="00116460">
        <w:rPr>
          <w:rStyle w:val="Emphasis"/>
        </w:rPr>
        <w:t>academic enunciations</w:t>
      </w:r>
      <w:r w:rsidRPr="00116460">
        <w:rPr>
          <w:rStyle w:val="StyleUnderline"/>
        </w:rPr>
        <w:t xml:space="preserve"> </w:t>
      </w:r>
      <w:r w:rsidRPr="00116460">
        <w:rPr>
          <w:sz w:val="14"/>
        </w:rPr>
        <w:t>of pessimism</w:t>
      </w:r>
      <w:r w:rsidRPr="00116460">
        <w:rPr>
          <w:rStyle w:val="StyleUnderline"/>
        </w:rPr>
        <w:t xml:space="preserve"> </w:t>
      </w:r>
      <w:r w:rsidRPr="00116460">
        <w:rPr>
          <w:rStyle w:val="Emphasis"/>
        </w:rPr>
        <w:t>run the risk of remaining loyal to the limits of legibility and respectability of politics</w:t>
      </w:r>
      <w:r w:rsidRPr="00116460">
        <w:rPr>
          <w:sz w:val="14"/>
        </w:rPr>
        <w:t xml:space="preserve"> as usual. As Nick Mitchell (forthcoming, p. 10) writes: ‘‘When the intellectual becomes interchangeable with the slave, it is perhaps too easy … to smooth over the fact that black intellectuals have interests as intellectuals that can and do diverge from those of the people for whom they might want justice. Without an acknowledgement (not a confession) of this divergence … </w:t>
      </w:r>
      <w:r w:rsidRPr="00116460">
        <w:rPr>
          <w:rStyle w:val="StyleUnderline"/>
        </w:rPr>
        <w:t xml:space="preserve">the project of race theorization risks deploying the </w:t>
      </w:r>
      <w:r w:rsidRPr="00116460">
        <w:rPr>
          <w:rStyle w:val="Emphasis"/>
        </w:rPr>
        <w:t>generalizing force of theory</w:t>
      </w:r>
      <w:r w:rsidRPr="00116460">
        <w:rPr>
          <w:sz w:val="14"/>
        </w:rPr>
        <w:t xml:space="preserve"> and the moralizing tendency of critique to generalize a class perspective.’’ </w:t>
      </w:r>
      <w:r w:rsidRPr="00116460">
        <w:rPr>
          <w:rStyle w:val="StyleUnderline"/>
        </w:rPr>
        <w:t>What we are dealing with</w:t>
      </w:r>
      <w:r w:rsidRPr="00116460">
        <w:rPr>
          <w:sz w:val="14"/>
        </w:rPr>
        <w:t xml:space="preserve"> here </w:t>
      </w:r>
      <w:r w:rsidRPr="00116460">
        <w:rPr>
          <w:rStyle w:val="Emphasis"/>
        </w:rPr>
        <w:t>is more than</w:t>
      </w:r>
      <w:r w:rsidRPr="00116460">
        <w:rPr>
          <w:sz w:val="14"/>
        </w:rPr>
        <w:t xml:space="preserve"> occidental anxiety of </w:t>
      </w:r>
      <w:r w:rsidRPr="00116460">
        <w:rPr>
          <w:rStyle w:val="Emphasis"/>
        </w:rPr>
        <w:t>ontological uncertainty</w:t>
      </w:r>
      <w:r w:rsidRPr="00116460">
        <w:rPr>
          <w:sz w:val="14"/>
        </w:rPr>
        <w:t xml:space="preserve">. </w:t>
      </w:r>
      <w:r w:rsidRPr="00116460">
        <w:rPr>
          <w:rStyle w:val="Emphasis"/>
        </w:rPr>
        <w:t>It is an ethical imperative to engage in a struggle to change the meaning of rights</w:t>
      </w:r>
      <w:r w:rsidRPr="00116460">
        <w:rPr>
          <w:sz w:val="14"/>
        </w:rPr>
        <w:t xml:space="preserve"> and </w:t>
      </w:r>
      <w:r w:rsidRPr="00116460">
        <w:rPr>
          <w:rStyle w:val="Emphasis"/>
        </w:rPr>
        <w:t>protection</w:t>
      </w:r>
      <w:r w:rsidRPr="00116460">
        <w:rPr>
          <w:sz w:val="14"/>
        </w:rPr>
        <w:t xml:space="preserve"> from the ground up (or suffer senselessly at the altar of the state’s right to defend itself by any means necessary). As Baldwin (in Clark et al., 1963) suggested in the interview with Kenneth Clark, </w:t>
      </w:r>
      <w:r w:rsidRPr="00116460">
        <w:rPr>
          <w:rStyle w:val="StyleUnderline"/>
        </w:rPr>
        <w:t>the pessimism of antiblack racism is not just a black problem, it presses on</w:t>
      </w:r>
      <w:r w:rsidRPr="00116460">
        <w:rPr>
          <w:sz w:val="14"/>
        </w:rPr>
        <w:t xml:space="preserve"> the condition of whites and upon </w:t>
      </w:r>
      <w:r w:rsidRPr="00116460">
        <w:rPr>
          <w:rStyle w:val="StyleUnderline"/>
        </w:rPr>
        <w:t>the country as a whole</w:t>
      </w:r>
      <w:r w:rsidRPr="00116460">
        <w:rPr>
          <w:sz w:val="14"/>
        </w:rPr>
        <w:t xml:space="preserve">: ‘‘These people have deluded themselves for so long, that they really don’t think I’m human. I base this on their conduct, not on what they say, and this means that they have become, in themselves, moral monsters.’’ The predicament of </w:t>
      </w:r>
      <w:r w:rsidRPr="00116460">
        <w:rPr>
          <w:rStyle w:val="StyleUnderline"/>
        </w:rPr>
        <w:t xml:space="preserve">the pessimist is </w:t>
      </w:r>
      <w:r w:rsidRPr="00116460">
        <w:rPr>
          <w:rStyle w:val="Emphasis"/>
        </w:rPr>
        <w:t>not</w:t>
      </w:r>
      <w:r w:rsidRPr="00116460">
        <w:rPr>
          <w:rStyle w:val="StyleUnderline"/>
        </w:rPr>
        <w:t xml:space="preserve"> a personal problem that is </w:t>
      </w:r>
      <w:r w:rsidRPr="00116460">
        <w:rPr>
          <w:rStyle w:val="Emphasis"/>
        </w:rPr>
        <w:t>easily self contained</w:t>
      </w:r>
      <w:r w:rsidRPr="00116460">
        <w:rPr>
          <w:rStyle w:val="StyleUnderline"/>
        </w:rPr>
        <w:t>.</w:t>
      </w:r>
      <w:r w:rsidRPr="00116460">
        <w:rPr>
          <w:sz w:val="14"/>
        </w:rPr>
        <w:t xml:space="preserve"> It presses upon the body, moving it to unrest, unleashing a rage that cannot stand to be at home in moral monstrosity. It just wants to burn it all down. ‘‘</w:t>
      </w:r>
      <w:r w:rsidRPr="00116460">
        <w:rPr>
          <w:rStyle w:val="Emphasis"/>
        </w:rPr>
        <w:t>Now</w:t>
      </w:r>
      <w:r w:rsidRPr="00116460">
        <w:rPr>
          <w:rStyle w:val="StyleUnderline"/>
        </w:rPr>
        <w:t xml:space="preserve">, </w:t>
      </w:r>
      <w:r w:rsidRPr="00116460">
        <w:rPr>
          <w:rStyle w:val="Emphasis"/>
        </w:rPr>
        <w:t>we are talking about</w:t>
      </w:r>
      <w:r w:rsidRPr="00116460">
        <w:rPr>
          <w:rStyle w:val="StyleUnderline"/>
        </w:rPr>
        <w:t xml:space="preserve"> human beings,</w:t>
      </w:r>
      <w:r w:rsidRPr="00116460">
        <w:rPr>
          <w:sz w:val="14"/>
        </w:rPr>
        <w:t xml:space="preserve"> there’s not such a thing as a monolithic wall or some abstraction called the Negro problem, these are Negro boys and girls, who at 16 and 17 don’t believe the country means anything that it says and don’t feel they have any place here, on the basis of the performance of the entire country.’’ The question </w:t>
      </w:r>
      <w:r w:rsidRPr="00116460">
        <w:rPr>
          <w:rStyle w:val="StyleUnderline"/>
        </w:rPr>
        <w:t>Afro-pessimism</w:t>
      </w:r>
      <w:r w:rsidRPr="00116460">
        <w:rPr>
          <w:sz w:val="14"/>
        </w:rPr>
        <w:t xml:space="preserve"> poses as a practice of prophetic desire then, </w:t>
      </w:r>
      <w:r w:rsidRPr="00116460">
        <w:rPr>
          <w:rStyle w:val="StyleUnderline"/>
        </w:rPr>
        <w:t>turns away from</w:t>
      </w:r>
      <w:r w:rsidRPr="00116460">
        <w:rPr>
          <w:sz w:val="14"/>
        </w:rPr>
        <w:t xml:space="preserve"> a politics of </w:t>
      </w:r>
      <w:r w:rsidRPr="00116460">
        <w:rPr>
          <w:rStyle w:val="StyleUnderline"/>
        </w:rPr>
        <w:t>recognition and respectability toward a</w:t>
      </w:r>
      <w:r w:rsidRPr="00116460">
        <w:rPr>
          <w:sz w:val="14"/>
        </w:rPr>
        <w:t xml:space="preserve">n abolitionist </w:t>
      </w:r>
      <w:r w:rsidRPr="00116460">
        <w:rPr>
          <w:rStyle w:val="StyleUnderline"/>
        </w:rPr>
        <w:t xml:space="preserve">praxis of </w:t>
      </w:r>
      <w:r w:rsidRPr="00116460">
        <w:rPr>
          <w:sz w:val="14"/>
        </w:rPr>
        <w:t xml:space="preserve">fugitive </w:t>
      </w:r>
      <w:r w:rsidRPr="00116460">
        <w:rPr>
          <w:rStyle w:val="StyleUnderline"/>
        </w:rPr>
        <w:t>reparation</w:t>
      </w:r>
      <w:r w:rsidRPr="00116460">
        <w:rPr>
          <w:sz w:val="14"/>
        </w:rPr>
        <w:t xml:space="preserve"> to ask, ‘‘</w:t>
      </w:r>
      <w:r w:rsidRPr="00116460">
        <w:rPr>
          <w:rStyle w:val="StyleUnderline"/>
        </w:rPr>
        <w:t>Will you run with me?’’</w:t>
      </w:r>
      <w:r w:rsidRPr="00116460">
        <w:rPr>
          <w:sz w:val="14"/>
        </w:rPr>
        <w:t xml:space="preserve"> </w:t>
      </w:r>
      <w:r w:rsidRPr="00116460">
        <w:rPr>
          <w:rStyle w:val="StyleUnderline"/>
        </w:rPr>
        <w:t>Does my pessimism press on you</w:t>
      </w:r>
      <w:r w:rsidRPr="00116460">
        <w:rPr>
          <w:sz w:val="14"/>
        </w:rPr>
        <w:t xml:space="preserve">r sense of superiority, exception, perfection </w:t>
      </w:r>
      <w:r w:rsidRPr="00116460">
        <w:rPr>
          <w:rStyle w:val="StyleUnderline"/>
        </w:rPr>
        <w:t>enough for you to</w:t>
      </w:r>
      <w:r w:rsidRPr="00116460">
        <w:rPr>
          <w:sz w:val="14"/>
        </w:rPr>
        <w:t xml:space="preserve"> forfeit your status and help us </w:t>
      </w:r>
      <w:r w:rsidRPr="00116460">
        <w:rPr>
          <w:rStyle w:val="Emphasis"/>
        </w:rPr>
        <w:t>move the country</w:t>
      </w:r>
      <w:r w:rsidRPr="00116460">
        <w:rPr>
          <w:sz w:val="14"/>
        </w:rPr>
        <w:t xml:space="preserve">, </w:t>
      </w:r>
      <w:r w:rsidRPr="00116460">
        <w:rPr>
          <w:rStyle w:val="Emphasis"/>
        </w:rPr>
        <w:t>force the nation</w:t>
      </w:r>
      <w:r w:rsidRPr="00116460">
        <w:rPr>
          <w:sz w:val="14"/>
        </w:rPr>
        <w:t xml:space="preserve"> to believe there is freedom beyond this world, a more prophetic imagination of difference, identity, and inclusion? ‘‘What white people have to do,’’ Baldwin (in Clark et al., 1963) reminds us, ‘‘is try and find out in their own hearts why it was necessary to have a nigger in the first place, because I’m not a nigger, I’m a man, but if you think I’m a nigger, it means you need it.’’ In the present moment Black Lives Matter (</w:t>
      </w:r>
      <w:r w:rsidRPr="00116460">
        <w:rPr>
          <w:rStyle w:val="StyleUnderline"/>
        </w:rPr>
        <w:t>BLM) is advancing the cause for the abolition of white supremacy</w:t>
      </w:r>
      <w:r w:rsidRPr="00116460">
        <w:rPr>
          <w:sz w:val="14"/>
        </w:rPr>
        <w:t xml:space="preserve"> in local ways in chapters </w:t>
      </w:r>
      <w:r w:rsidRPr="00116460">
        <w:rPr>
          <w:rStyle w:val="Emphasis"/>
        </w:rPr>
        <w:t>throughout the world.</w:t>
      </w:r>
      <w:r w:rsidRPr="00116460">
        <w:rPr>
          <w:sz w:val="14"/>
        </w:rPr>
        <w:t xml:space="preserve"> </w:t>
      </w:r>
      <w:r w:rsidRPr="00116460">
        <w:rPr>
          <w:rStyle w:val="StyleUnderline"/>
        </w:rPr>
        <w:t xml:space="preserve">They call us to account for the material consequences of the unfinished work of antislavery abolition and </w:t>
      </w:r>
      <w:r w:rsidRPr="00116460">
        <w:rPr>
          <w:rStyle w:val="Emphasis"/>
        </w:rPr>
        <w:t>reconstruction</w:t>
      </w:r>
      <w:r w:rsidRPr="00116460">
        <w:rPr>
          <w:rStyle w:val="StyleUnderline"/>
        </w:rPr>
        <w:t>.</w:t>
      </w:r>
      <w:r w:rsidRPr="00116460">
        <w:rPr>
          <w:sz w:val="14"/>
        </w:rPr>
        <w:t xml:space="preserve"> They are part of an underground lineage of fugitive communities that emerged from the marshes, swamps, and hiding spaces of the plantation South. Their message is decentralized. It is not uniform. It does not reproduce old antagonisms. It does not pit moral suasion against direct confrontation. </w:t>
      </w:r>
      <w:r w:rsidRPr="00116460">
        <w:rPr>
          <w:rStyle w:val="StyleUnderline"/>
        </w:rPr>
        <w:t xml:space="preserve">It does </w:t>
      </w:r>
      <w:r w:rsidRPr="00116460">
        <w:rPr>
          <w:rStyle w:val="Emphasis"/>
        </w:rPr>
        <w:t>not</w:t>
      </w:r>
      <w:r w:rsidRPr="00116460">
        <w:rPr>
          <w:rStyle w:val="StyleUnderline"/>
        </w:rPr>
        <w:t xml:space="preserve"> ask that we choose to remain </w:t>
      </w:r>
      <w:r w:rsidRPr="00116460">
        <w:rPr>
          <w:rStyle w:val="Emphasis"/>
        </w:rPr>
        <w:t>either optimistic or pessimistic</w:t>
      </w:r>
      <w:r w:rsidRPr="00116460">
        <w:rPr>
          <w:sz w:val="14"/>
        </w:rPr>
        <w:t xml:space="preserve">. </w:t>
      </w:r>
      <w:r w:rsidRPr="00116460">
        <w:rPr>
          <w:rStyle w:val="StyleUnderline"/>
        </w:rPr>
        <w:t xml:space="preserve">It exercises a practice of the political that </w:t>
      </w:r>
      <w:r w:rsidRPr="00116460">
        <w:rPr>
          <w:rStyle w:val="Emphasis"/>
        </w:rPr>
        <w:t>harnesses both.</w:t>
      </w:r>
      <w:r w:rsidRPr="00116460">
        <w:rPr>
          <w:sz w:val="14"/>
        </w:rPr>
        <w:t xml:space="preserve"> In this last section then I turn to a speech against apathy by Patrisse Cullors, a beacon in a leader-full movement who has been </w:t>
      </w:r>
      <w:r w:rsidRPr="00116460">
        <w:rPr>
          <w:rStyle w:val="StyleUnderline"/>
        </w:rPr>
        <w:t>animating pessimism as</w:t>
      </w:r>
      <w:r w:rsidRPr="00116460">
        <w:rPr>
          <w:sz w:val="14"/>
        </w:rPr>
        <w:t xml:space="preserve"> a protocol of </w:t>
      </w:r>
      <w:r w:rsidRPr="00116460">
        <w:rPr>
          <w:rStyle w:val="StyleUnderline"/>
        </w:rPr>
        <w:t>self-care</w:t>
      </w:r>
      <w:r w:rsidRPr="00116460">
        <w:rPr>
          <w:sz w:val="14"/>
        </w:rPr>
        <w:t xml:space="preserve"> and prophetic political organizing powerful enough to </w:t>
      </w:r>
      <w:r w:rsidRPr="00116460">
        <w:rPr>
          <w:rStyle w:val="Emphasis"/>
        </w:rPr>
        <w:t>propel</w:t>
      </w:r>
      <w:r w:rsidRPr="00116460">
        <w:rPr>
          <w:rStyle w:val="StyleUnderline"/>
        </w:rPr>
        <w:t xml:space="preserve"> activist and intellectual movements </w:t>
      </w:r>
      <w:r w:rsidRPr="00116460">
        <w:rPr>
          <w:rStyle w:val="Emphasis"/>
        </w:rPr>
        <w:t>from isolated places</w:t>
      </w:r>
      <w:r w:rsidRPr="00116460">
        <w:rPr>
          <w:sz w:val="14"/>
        </w:rPr>
        <w:t xml:space="preserve"> of loss </w:t>
      </w:r>
      <w:r w:rsidRPr="00116460">
        <w:rPr>
          <w:rStyle w:val="StyleUnderline"/>
        </w:rPr>
        <w:t xml:space="preserve">into </w:t>
      </w:r>
      <w:r w:rsidRPr="00116460">
        <w:rPr>
          <w:rStyle w:val="Emphasis"/>
        </w:rPr>
        <w:t>collective</w:t>
      </w:r>
      <w:r w:rsidRPr="00116460">
        <w:rPr>
          <w:rStyle w:val="StyleUnderline"/>
        </w:rPr>
        <w:t xml:space="preserve"> liberation</w:t>
      </w:r>
      <w:r w:rsidRPr="00116460">
        <w:rPr>
          <w:sz w:val="14"/>
        </w:rPr>
        <w:t xml:space="preserve">, </w:t>
      </w:r>
      <w:r w:rsidRPr="00116460">
        <w:rPr>
          <w:rStyle w:val="StyleUnderline"/>
        </w:rPr>
        <w:t xml:space="preserve">out of abstractions into objections, subjecting the logics of antiblack racism to the </w:t>
      </w:r>
      <w:r w:rsidRPr="00116460">
        <w:rPr>
          <w:rStyle w:val="Emphasis"/>
        </w:rPr>
        <w:t>collective</w:t>
      </w:r>
      <w:r w:rsidRPr="00116460">
        <w:rPr>
          <w:rStyle w:val="StyleUnderline"/>
        </w:rPr>
        <w:t xml:space="preserve"> force of </w:t>
      </w:r>
      <w:r w:rsidRPr="00116460">
        <w:rPr>
          <w:rStyle w:val="Emphasis"/>
        </w:rPr>
        <w:t>intersecting</w:t>
      </w:r>
      <w:r w:rsidRPr="00116460">
        <w:rPr>
          <w:sz w:val="14"/>
        </w:rPr>
        <w:t xml:space="preserve"> fugitive </w:t>
      </w:r>
      <w:r w:rsidRPr="00116460">
        <w:rPr>
          <w:rStyle w:val="StyleUnderline"/>
        </w:rPr>
        <w:t>communities</w:t>
      </w:r>
      <w:r w:rsidRPr="00116460">
        <w:rPr>
          <w:sz w:val="14"/>
        </w:rPr>
        <w:t xml:space="preserve"> of abolitionist movement against nihilism and toward an affirmation of life. At age 25 on 19 April 2015 Freddie Gray died from injuries sustained while shackled by his feet in a Baltimore Police Department van where he was being held in custody following his arrest. Baltimore stood up, rose up, died in, and rolled out. We all bore witness. His death was deemed a murder by the medical examiner a few weeks later. That Sunday morning, May 3, 2015, I, a Buddhist, found my way to church, to All Saints in Pasadena, CA, into the strikingly upper-class congregation of post-service attendees who piled in along with an unlikely mix of young greater Los Angeles activists-of-color and their white hipster allies. It would be my first time hearing our speaker in person. The whole room stood and cheered as she entered – the woman who helped coin the hashtag, the longtime activist organizer, Patrisse Cullors greeted us like family, all knowing eyes, bright smiles, and then began a talk she called ‘‘Abolition Theology.’’ Her voice was clear and certain, free of the cross-bearing affect of black suffering that often accompanies talk of state-sponsored antiblack violence in predominately white spaces. Cullors gave us a speech that touched us, that moved us – mourning, rage and all – into a mood for collective action. She impressed upon us the fact that the movement for black lives was a call to action for all black life, not just the names we could recite, not just cisgendered young men, not just ‘‘innocent’’ ‘‘children,’’ not just Americans. She let us know there had been recent formations of #Black Lives Matter chapters beyond U.S. borders. There were Afro-Latino chapters, chapters forming in Haiti, and in Ghana. She reminded us that </w:t>
      </w:r>
      <w:r w:rsidRPr="00116460">
        <w:rPr>
          <w:u w:val="single"/>
        </w:rPr>
        <w:t>the concept of blackness</w:t>
      </w:r>
      <w:r w:rsidRPr="00116460">
        <w:rPr>
          <w:sz w:val="14"/>
        </w:rPr>
        <w:t xml:space="preserve"> that </w:t>
      </w:r>
      <w:r w:rsidRPr="00116460">
        <w:rPr>
          <w:b/>
          <w:iCs/>
          <w:u w:val="single"/>
        </w:rPr>
        <w:t>resonates across the globe</w:t>
      </w:r>
      <w:r w:rsidRPr="00116460">
        <w:rPr>
          <w:sz w:val="14"/>
        </w:rPr>
        <w:t xml:space="preserve"> </w:t>
      </w:r>
      <w:r w:rsidRPr="00116460">
        <w:rPr>
          <w:u w:val="single"/>
        </w:rPr>
        <w:t xml:space="preserve">called on us to broaden the scope of our movements and to </w:t>
      </w:r>
      <w:r w:rsidRPr="00116460">
        <w:rPr>
          <w:b/>
          <w:iCs/>
          <w:u w:val="single"/>
        </w:rPr>
        <w:t>build alliances</w:t>
      </w:r>
      <w:r w:rsidRPr="00116460">
        <w:rPr>
          <w:u w:val="single"/>
        </w:rPr>
        <w:t>,</w:t>
      </w:r>
      <w:r w:rsidRPr="00116460">
        <w:rPr>
          <w:sz w:val="14"/>
        </w:rPr>
        <w:t xml:space="preserve"> to build with Latino communities in particular. It was a call for #BLM without borders. We were being enlisted in a movement that began, she reminded us, with the movement to abolish the institution of slavery. We were being reeducated as she drew connection between the hard-won efforts of formerly fugitive abolitionists to build resilient communities out of the so-called contraband during and following the Civil War through to the present-day ‘‘leader-full’’ movement of #BLM. ‘‘Isn’t this a great time to be alive?’’ Cullors asked in closing. Is she joking I wondered? I found not one drop of cynicism in her question. Without missing a beat, she proceeded to relay the names, the facts, the numbers, the bodies felled by police, by gun, by force. As she listed the lives taken a wave of loss flooded the room and we were still, breathless. ‘‘Protest is about disrupting apathy,’’ she continued. She left us eager </w:t>
      </w:r>
      <w:r w:rsidRPr="00116460">
        <w:rPr>
          <w:u w:val="single"/>
        </w:rPr>
        <w:t>to join</w:t>
      </w:r>
      <w:r w:rsidRPr="00116460">
        <w:rPr>
          <w:sz w:val="14"/>
        </w:rPr>
        <w:t xml:space="preserve"> her </w:t>
      </w:r>
      <w:r w:rsidRPr="00116460">
        <w:rPr>
          <w:u w:val="single"/>
        </w:rPr>
        <w:t>in</w:t>
      </w:r>
      <w:r w:rsidRPr="00116460">
        <w:rPr>
          <w:sz w:val="14"/>
        </w:rPr>
        <w:t xml:space="preserve"> this twenty-first century revival of </w:t>
      </w:r>
      <w:r w:rsidRPr="00116460">
        <w:rPr>
          <w:rStyle w:val="StyleUnderline"/>
        </w:rPr>
        <w:t>reconstruction, in a fight for</w:t>
      </w:r>
      <w:r w:rsidRPr="00116460">
        <w:rPr>
          <w:sz w:val="14"/>
        </w:rPr>
        <w:t xml:space="preserve"> food, for </w:t>
      </w:r>
      <w:r w:rsidRPr="00116460">
        <w:rPr>
          <w:rStyle w:val="StyleUnderline"/>
        </w:rPr>
        <w:t>access</w:t>
      </w:r>
      <w:r w:rsidRPr="00116460">
        <w:rPr>
          <w:sz w:val="14"/>
        </w:rPr>
        <w:t xml:space="preserve"> to housing, for access to education, and for a kind of justice for black lives that </w:t>
      </w:r>
      <w:r w:rsidRPr="00116460">
        <w:rPr>
          <w:rStyle w:val="StyleUnderline"/>
        </w:rPr>
        <w:t>will not come without</w:t>
      </w:r>
      <w:r w:rsidRPr="00116460">
        <w:rPr>
          <w:u w:val="single"/>
        </w:rPr>
        <w:t xml:space="preserve"> our willingness to show up</w:t>
      </w:r>
      <w:r w:rsidRPr="00116460">
        <w:rPr>
          <w:sz w:val="14"/>
        </w:rPr>
        <w:t xml:space="preserve">, stand up, and </w:t>
      </w:r>
      <w:r w:rsidRPr="00116460">
        <w:rPr>
          <w:u w:val="single"/>
        </w:rPr>
        <w:t>throw down</w:t>
      </w:r>
      <w:r w:rsidRPr="00116460">
        <w:rPr>
          <w:sz w:val="14"/>
        </w:rPr>
        <w:t xml:space="preserve">. In the streets, </w:t>
      </w:r>
      <w:r w:rsidRPr="00116460">
        <w:rPr>
          <w:b/>
          <w:iCs/>
          <w:u w:val="single"/>
        </w:rPr>
        <w:t xml:space="preserve">in </w:t>
      </w:r>
      <w:r w:rsidRPr="00116460">
        <w:rPr>
          <w:rStyle w:val="StyleUnderline"/>
        </w:rPr>
        <w:t>solidarity</w:t>
      </w:r>
      <w:r w:rsidRPr="00116460">
        <w:rPr>
          <w:b/>
          <w:iCs/>
          <w:u w:val="single"/>
        </w:rPr>
        <w:t xml:space="preserve">, </w:t>
      </w:r>
      <w:r w:rsidRPr="00116460">
        <w:rPr>
          <w:rStyle w:val="StyleUnderline"/>
        </w:rPr>
        <w:t>we will find the power to change people</w:t>
      </w:r>
      <w:r w:rsidRPr="00116460">
        <w:rPr>
          <w:sz w:val="14"/>
        </w:rPr>
        <w:t>, she said, to change policy. She echoed the words of civil rights organizer Ella Baker, ‘‘</w:t>
      </w:r>
      <w:r w:rsidRPr="00116460">
        <w:rPr>
          <w:rStyle w:val="StyleUnderline"/>
        </w:rPr>
        <w:t>the system</w:t>
      </w:r>
      <w:r w:rsidRPr="00116460">
        <w:rPr>
          <w:sz w:val="14"/>
        </w:rPr>
        <w:t xml:space="preserve"> under which we now exist </w:t>
      </w:r>
      <w:r w:rsidRPr="00116460">
        <w:rPr>
          <w:rStyle w:val="StyleUnderline"/>
        </w:rPr>
        <w:t>has to be radically changed… It means</w:t>
      </w:r>
      <w:r w:rsidRPr="00116460">
        <w:rPr>
          <w:sz w:val="14"/>
        </w:rPr>
        <w:t xml:space="preserve"> facing a system that does not lend itself to your needs and </w:t>
      </w:r>
      <w:r w:rsidRPr="00116460">
        <w:rPr>
          <w:rStyle w:val="StyleUnderline"/>
        </w:rPr>
        <w:t>devising means by which you change that system</w:t>
      </w:r>
      <w:r w:rsidRPr="00116460">
        <w:rPr>
          <w:sz w:val="14"/>
        </w:rPr>
        <w:t xml:space="preserve">.’’ For Cullors that ‘‘means’’ came by way of waves grief, rage, despair, the loss of family, the loss of hope, bearing witness, heartbreak, and the will to return to face it all again. She closed us out with the rallying chant of the movement for black lives, the recitation of a prayer by Twentieth century fugitive slave Assata Shakur, ‘‘It is our duty to fight for our freedom. It is our duty to win. We must love each other and protect each other. We have nothing to lose but our chains.’’ The congregation’s joy burst through the siren of her words and bound us toward another way of sitting with the litany of loss. What Baldwin and Cullors make clear is that </w:t>
      </w:r>
      <w:r w:rsidRPr="00116460">
        <w:rPr>
          <w:u w:val="single"/>
        </w:rPr>
        <w:t xml:space="preserve">pessimism is </w:t>
      </w:r>
      <w:r w:rsidRPr="00116460">
        <w:rPr>
          <w:b/>
          <w:iCs/>
          <w:u w:val="single"/>
        </w:rPr>
        <w:t>most powerful</w:t>
      </w:r>
      <w:r w:rsidRPr="00116460">
        <w:rPr>
          <w:u w:val="single"/>
        </w:rPr>
        <w:t xml:space="preserve"> as a</w:t>
      </w:r>
      <w:r w:rsidRPr="00116460">
        <w:rPr>
          <w:sz w:val="14"/>
        </w:rPr>
        <w:t xml:space="preserve">n unrelenting </w:t>
      </w:r>
      <w:r w:rsidRPr="00116460">
        <w:rPr>
          <w:u w:val="single"/>
        </w:rPr>
        <w:t xml:space="preserve">political process of coming back to life, beginning to feel </w:t>
      </w:r>
      <w:r w:rsidRPr="00116460">
        <w:rPr>
          <w:b/>
          <w:iCs/>
          <w:u w:val="single"/>
        </w:rPr>
        <w:t>one another’s</w:t>
      </w:r>
      <w:r w:rsidRPr="00116460">
        <w:rPr>
          <w:u w:val="single"/>
        </w:rPr>
        <w:t xml:space="preserve"> humanity.</w:t>
      </w:r>
      <w:r w:rsidRPr="00116460">
        <w:rPr>
          <w:sz w:val="14"/>
        </w:rPr>
        <w:t xml:space="preserve"> What my </w:t>
      </w:r>
      <w:r w:rsidRPr="00116460">
        <w:rPr>
          <w:rStyle w:val="StyleUnderline"/>
        </w:rPr>
        <w:t>students who are taking up</w:t>
      </w:r>
      <w:r w:rsidRPr="00116460">
        <w:rPr>
          <w:sz w:val="14"/>
        </w:rPr>
        <w:t xml:space="preserve"> the work of </w:t>
      </w:r>
      <w:r w:rsidRPr="00116460">
        <w:rPr>
          <w:rStyle w:val="StyleUnderline"/>
        </w:rPr>
        <w:t>Afro-pessimism are in most need of are new ways to put their pessimism to work,</w:t>
      </w:r>
      <w:r w:rsidRPr="00116460">
        <w:rPr>
          <w:sz w:val="14"/>
        </w:rPr>
        <w:t xml:space="preserve"> </w:t>
      </w:r>
      <w:r w:rsidRPr="00116460">
        <w:rPr>
          <w:u w:val="single"/>
        </w:rPr>
        <w:t>to come together</w:t>
      </w:r>
      <w:r w:rsidRPr="00116460">
        <w:rPr>
          <w:sz w:val="14"/>
        </w:rPr>
        <w:t xml:space="preserve"> and </w:t>
      </w:r>
      <w:r w:rsidRPr="00116460">
        <w:rPr>
          <w:u w:val="single"/>
        </w:rPr>
        <w:t>collectively counteract the</w:t>
      </w:r>
      <w:r w:rsidRPr="00116460">
        <w:rPr>
          <w:sz w:val="14"/>
        </w:rPr>
        <w:t xml:space="preserve"> mind-numbing </w:t>
      </w:r>
      <w:r w:rsidRPr="00116460">
        <w:rPr>
          <w:u w:val="single"/>
        </w:rPr>
        <w:t>soul-crushing isolation centuries of antiblack racism</w:t>
      </w:r>
      <w:r w:rsidRPr="00116460">
        <w:rPr>
          <w:sz w:val="14"/>
        </w:rPr>
        <w:t xml:space="preserve"> have waged on our humanity. We need not fear falling short. The more we ‘‘fail,’’ the stronger we rise to try again armed with the alchemy of despair. </w:t>
      </w:r>
      <w:r w:rsidRPr="00116460">
        <w:rPr>
          <w:u w:val="single"/>
        </w:rPr>
        <w:t xml:space="preserve">What we need are </w:t>
      </w:r>
      <w:r w:rsidRPr="00116460">
        <w:rPr>
          <w:sz w:val="14"/>
        </w:rPr>
        <w:t xml:space="preserve">stories and </w:t>
      </w:r>
      <w:r w:rsidRPr="00116460">
        <w:rPr>
          <w:u w:val="single"/>
        </w:rPr>
        <w:t>speeches</w:t>
      </w:r>
      <w:r w:rsidRPr="00116460">
        <w:rPr>
          <w:sz w:val="14"/>
        </w:rPr>
        <w:t xml:space="preserve">, and spaces </w:t>
      </w:r>
      <w:r w:rsidRPr="00116460">
        <w:rPr>
          <w:u w:val="single"/>
        </w:rPr>
        <w:t>that moves us from abjection toward</w:t>
      </w:r>
      <w:r w:rsidRPr="00116460">
        <w:rPr>
          <w:sz w:val="14"/>
        </w:rPr>
        <w:t xml:space="preserve"> that fertile ground of </w:t>
      </w:r>
      <w:r w:rsidRPr="00116460">
        <w:rPr>
          <w:u w:val="single"/>
        </w:rPr>
        <w:t xml:space="preserve">self-transformation one </w:t>
      </w:r>
      <w:r w:rsidRPr="00116460">
        <w:rPr>
          <w:b/>
          <w:iCs/>
          <w:u w:val="single"/>
        </w:rPr>
        <w:t>can only find in the witness of another</w:t>
      </w:r>
      <w:r w:rsidRPr="00116460">
        <w:rPr>
          <w:sz w:val="14"/>
        </w:rPr>
        <w:t>. What might we give up in a move from critique to healing and reparation, generative of the choice to be fearless in the face of the impossibilities of freedom? What might the audacity to ‘‘lean on each other,’’ as Jasmine Abdullah Richards says in the epigraph, and imagine a future for black life otherwise, add to the pursuits of the pessimist?</w:t>
      </w:r>
    </w:p>
    <w:sectPr w:rsidR="00944B44" w:rsidRPr="00944B44" w:rsidSect="00072718">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panose1 w:val="020B0600040502020204"/>
    <w:charset w:val="00"/>
    <w:family w:val="swiss"/>
    <w:pitch w:val="variable"/>
    <w:sig w:usb0="E1000AEF" w:usb1="5000A1FF" w:usb2="00000000" w:usb3="00000000" w:csb0="000001B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6D56FF4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7C"/>
    <w:multiLevelType w:val="singleLevel"/>
    <w:tmpl w:val="DD48CC26"/>
    <w:lvl w:ilvl="0">
      <w:start w:val="1"/>
      <w:numFmt w:val="decimal"/>
      <w:lvlText w:val="%1."/>
      <w:lvlJc w:val="left"/>
      <w:pPr>
        <w:tabs>
          <w:tab w:val="num" w:pos="1800"/>
        </w:tabs>
        <w:ind w:left="1800" w:hanging="360"/>
      </w:pPr>
    </w:lvl>
  </w:abstractNum>
  <w:abstractNum w:abstractNumId="2" w15:restartNumberingAfterBreak="0">
    <w:nsid w:val="FFFFFF7D"/>
    <w:multiLevelType w:val="singleLevel"/>
    <w:tmpl w:val="D1287A64"/>
    <w:lvl w:ilvl="0">
      <w:start w:val="1"/>
      <w:numFmt w:val="decimal"/>
      <w:lvlText w:val="%1."/>
      <w:lvlJc w:val="left"/>
      <w:pPr>
        <w:tabs>
          <w:tab w:val="num" w:pos="1440"/>
        </w:tabs>
        <w:ind w:left="1440" w:hanging="360"/>
      </w:pPr>
    </w:lvl>
  </w:abstractNum>
  <w:abstractNum w:abstractNumId="3" w15:restartNumberingAfterBreak="0">
    <w:nsid w:val="FFFFFF7E"/>
    <w:multiLevelType w:val="singleLevel"/>
    <w:tmpl w:val="C8ECA566"/>
    <w:lvl w:ilvl="0">
      <w:start w:val="1"/>
      <w:numFmt w:val="decimal"/>
      <w:lvlText w:val="%1."/>
      <w:lvlJc w:val="left"/>
      <w:pPr>
        <w:tabs>
          <w:tab w:val="num" w:pos="1080"/>
        </w:tabs>
        <w:ind w:left="1080" w:hanging="360"/>
      </w:pPr>
    </w:lvl>
  </w:abstractNum>
  <w:abstractNum w:abstractNumId="4" w15:restartNumberingAfterBreak="0">
    <w:nsid w:val="FFFFFF7F"/>
    <w:multiLevelType w:val="singleLevel"/>
    <w:tmpl w:val="A8789196"/>
    <w:lvl w:ilvl="0">
      <w:start w:val="1"/>
      <w:numFmt w:val="decimal"/>
      <w:lvlText w:val="%1."/>
      <w:lvlJc w:val="left"/>
      <w:pPr>
        <w:tabs>
          <w:tab w:val="num" w:pos="720"/>
        </w:tabs>
        <w:ind w:left="720" w:hanging="360"/>
      </w:pPr>
    </w:lvl>
  </w:abstractNum>
  <w:abstractNum w:abstractNumId="5" w15:restartNumberingAfterBreak="0">
    <w:nsid w:val="FFFFFF80"/>
    <w:multiLevelType w:val="singleLevel"/>
    <w:tmpl w:val="416E7034"/>
    <w:lvl w:ilvl="0">
      <w:start w:val="1"/>
      <w:numFmt w:val="bullet"/>
      <w:lvlText w:val=""/>
      <w:lvlJc w:val="left"/>
      <w:pPr>
        <w:tabs>
          <w:tab w:val="num" w:pos="1800"/>
        </w:tabs>
        <w:ind w:left="1800" w:hanging="360"/>
      </w:pPr>
      <w:rPr>
        <w:rFonts w:ascii="Symbol" w:hAnsi="Symbol" w:hint="default"/>
      </w:rPr>
    </w:lvl>
  </w:abstractNum>
  <w:abstractNum w:abstractNumId="6" w15:restartNumberingAfterBreak="0">
    <w:nsid w:val="FFFFFF81"/>
    <w:multiLevelType w:val="singleLevel"/>
    <w:tmpl w:val="13CA7190"/>
    <w:lvl w:ilvl="0">
      <w:start w:val="1"/>
      <w:numFmt w:val="bullet"/>
      <w:lvlText w:val=""/>
      <w:lvlJc w:val="left"/>
      <w:pPr>
        <w:tabs>
          <w:tab w:val="num" w:pos="1440"/>
        </w:tabs>
        <w:ind w:left="1440" w:hanging="360"/>
      </w:pPr>
      <w:rPr>
        <w:rFonts w:ascii="Symbol" w:hAnsi="Symbol" w:hint="default"/>
      </w:rPr>
    </w:lvl>
  </w:abstractNum>
  <w:abstractNum w:abstractNumId="7" w15:restartNumberingAfterBreak="0">
    <w:nsid w:val="FFFFFF82"/>
    <w:multiLevelType w:val="singleLevel"/>
    <w:tmpl w:val="6A80443C"/>
    <w:lvl w:ilvl="0">
      <w:start w:val="1"/>
      <w:numFmt w:val="bullet"/>
      <w:lvlText w:val=""/>
      <w:lvlJc w:val="left"/>
      <w:pPr>
        <w:tabs>
          <w:tab w:val="num" w:pos="1080"/>
        </w:tabs>
        <w:ind w:left="1080" w:hanging="360"/>
      </w:pPr>
      <w:rPr>
        <w:rFonts w:ascii="Symbol" w:hAnsi="Symbol" w:hint="default"/>
      </w:rPr>
    </w:lvl>
  </w:abstractNum>
  <w:abstractNum w:abstractNumId="8" w15:restartNumberingAfterBreak="0">
    <w:nsid w:val="FFFFFF83"/>
    <w:multiLevelType w:val="singleLevel"/>
    <w:tmpl w:val="2A8A6F18"/>
    <w:lvl w:ilvl="0">
      <w:start w:val="1"/>
      <w:numFmt w:val="bullet"/>
      <w:lvlText w:val=""/>
      <w:lvlJc w:val="left"/>
      <w:pPr>
        <w:tabs>
          <w:tab w:val="num" w:pos="720"/>
        </w:tabs>
        <w:ind w:left="720" w:hanging="360"/>
      </w:pPr>
      <w:rPr>
        <w:rFonts w:ascii="Symbol" w:hAnsi="Symbol" w:hint="default"/>
      </w:rPr>
    </w:lvl>
  </w:abstractNum>
  <w:abstractNum w:abstractNumId="9" w15:restartNumberingAfterBreak="0">
    <w:nsid w:val="FFFFFF88"/>
    <w:multiLevelType w:val="singleLevel"/>
    <w:tmpl w:val="DFDA31E6"/>
    <w:lvl w:ilvl="0">
      <w:start w:val="1"/>
      <w:numFmt w:val="decimal"/>
      <w:lvlText w:val="%1."/>
      <w:lvlJc w:val="left"/>
      <w:pPr>
        <w:tabs>
          <w:tab w:val="num" w:pos="360"/>
        </w:tabs>
        <w:ind w:left="360" w:hanging="360"/>
      </w:pPr>
    </w:lvl>
  </w:abstractNum>
  <w:abstractNum w:abstractNumId="10" w15:restartNumberingAfterBreak="0">
    <w:nsid w:val="FFFFFF89"/>
    <w:multiLevelType w:val="singleLevel"/>
    <w:tmpl w:val="4A448184"/>
    <w:lvl w:ilvl="0">
      <w:start w:val="1"/>
      <w:numFmt w:val="bullet"/>
      <w:lvlText w:val=""/>
      <w:lvlJc w:val="left"/>
      <w:pPr>
        <w:tabs>
          <w:tab w:val="num" w:pos="360"/>
        </w:tabs>
        <w:ind w:left="360" w:hanging="360"/>
      </w:pPr>
      <w:rPr>
        <w:rFonts w:ascii="Symbol" w:hAnsi="Symbol" w:hint="default"/>
      </w:rPr>
    </w:lvl>
  </w:abstractNum>
  <w:num w:numId="1">
    <w:abstractNumId w:val="10"/>
  </w:num>
  <w:num w:numId="2">
    <w:abstractNumId w:val="8"/>
  </w:num>
  <w:num w:numId="3">
    <w:abstractNumId w:val="7"/>
  </w:num>
  <w:num w:numId="4">
    <w:abstractNumId w:val="6"/>
  </w:num>
  <w:num w:numId="5">
    <w:abstractNumId w:val="5"/>
  </w:num>
  <w:num w:numId="6">
    <w:abstractNumId w:val="9"/>
  </w:num>
  <w:num w:numId="7">
    <w:abstractNumId w:val="4"/>
  </w:num>
  <w:num w:numId="8">
    <w:abstractNumId w:val="3"/>
  </w:num>
  <w:num w:numId="9">
    <w:abstractNumId w:val="2"/>
  </w:num>
  <w:num w:numId="10">
    <w:abstractNumId w:val="1"/>
  </w:num>
  <w:num w:numId="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web"/>
  <w:zoom w:percent="100"/>
  <w:attachedTemplate r:id="rId1"/>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docVars>
    <w:docVar w:name="Creator" w:val="?"/>
    <w:docVar w:name="VerbatimMac" w:val="True"/>
    <w:docVar w:name="VerbatimVersion" w:val="5.0"/>
  </w:docVars>
  <w:rsids>
    <w:rsidRoot w:val="00ED4184"/>
    <w:rsid w:val="000029E3"/>
    <w:rsid w:val="000029E8"/>
    <w:rsid w:val="00004225"/>
    <w:rsid w:val="000066CA"/>
    <w:rsid w:val="00007264"/>
    <w:rsid w:val="000076A9"/>
    <w:rsid w:val="00014FAD"/>
    <w:rsid w:val="00015D2A"/>
    <w:rsid w:val="0002490B"/>
    <w:rsid w:val="00026465"/>
    <w:rsid w:val="00030204"/>
    <w:rsid w:val="000312A0"/>
    <w:rsid w:val="0003396C"/>
    <w:rsid w:val="00035337"/>
    <w:rsid w:val="00052FB1"/>
    <w:rsid w:val="00054276"/>
    <w:rsid w:val="000547B1"/>
    <w:rsid w:val="0006091E"/>
    <w:rsid w:val="000638C1"/>
    <w:rsid w:val="00065FEE"/>
    <w:rsid w:val="00066E3C"/>
    <w:rsid w:val="00072718"/>
    <w:rsid w:val="0007381E"/>
    <w:rsid w:val="00076094"/>
    <w:rsid w:val="0008785F"/>
    <w:rsid w:val="00090CBE"/>
    <w:rsid w:val="00094DEC"/>
    <w:rsid w:val="000A2D8A"/>
    <w:rsid w:val="000D26A6"/>
    <w:rsid w:val="000D2B90"/>
    <w:rsid w:val="000D4E2B"/>
    <w:rsid w:val="000D6ED8"/>
    <w:rsid w:val="000D717B"/>
    <w:rsid w:val="00100B28"/>
    <w:rsid w:val="00116460"/>
    <w:rsid w:val="00117316"/>
    <w:rsid w:val="001209B4"/>
    <w:rsid w:val="00152EDA"/>
    <w:rsid w:val="001761FC"/>
    <w:rsid w:val="00177BF5"/>
    <w:rsid w:val="00182655"/>
    <w:rsid w:val="001840F2"/>
    <w:rsid w:val="00185134"/>
    <w:rsid w:val="001856C6"/>
    <w:rsid w:val="00191B5F"/>
    <w:rsid w:val="00192487"/>
    <w:rsid w:val="00193416"/>
    <w:rsid w:val="00195073"/>
    <w:rsid w:val="0019668D"/>
    <w:rsid w:val="001A25FD"/>
    <w:rsid w:val="001A5371"/>
    <w:rsid w:val="001A72C7"/>
    <w:rsid w:val="001B73E3"/>
    <w:rsid w:val="001C316D"/>
    <w:rsid w:val="001D1A0D"/>
    <w:rsid w:val="001D36BF"/>
    <w:rsid w:val="001D4C28"/>
    <w:rsid w:val="001E0B1F"/>
    <w:rsid w:val="001E0C0F"/>
    <w:rsid w:val="001E1E0B"/>
    <w:rsid w:val="001E3912"/>
    <w:rsid w:val="001F1173"/>
    <w:rsid w:val="002005A8"/>
    <w:rsid w:val="00203DD8"/>
    <w:rsid w:val="00204E1D"/>
    <w:rsid w:val="002059BD"/>
    <w:rsid w:val="00207FD8"/>
    <w:rsid w:val="00210FAF"/>
    <w:rsid w:val="00213B1E"/>
    <w:rsid w:val="00215284"/>
    <w:rsid w:val="002168F2"/>
    <w:rsid w:val="0022589F"/>
    <w:rsid w:val="002343FE"/>
    <w:rsid w:val="00235F7B"/>
    <w:rsid w:val="002502CF"/>
    <w:rsid w:val="00262B47"/>
    <w:rsid w:val="00267EBB"/>
    <w:rsid w:val="0027023B"/>
    <w:rsid w:val="00272F3F"/>
    <w:rsid w:val="00274EDB"/>
    <w:rsid w:val="0027729E"/>
    <w:rsid w:val="0028428E"/>
    <w:rsid w:val="002843B2"/>
    <w:rsid w:val="00284ED6"/>
    <w:rsid w:val="00290C5A"/>
    <w:rsid w:val="00290C92"/>
    <w:rsid w:val="0029647A"/>
    <w:rsid w:val="00296504"/>
    <w:rsid w:val="002A3565"/>
    <w:rsid w:val="002B5511"/>
    <w:rsid w:val="002B7ACF"/>
    <w:rsid w:val="002E0643"/>
    <w:rsid w:val="002E392E"/>
    <w:rsid w:val="002E6BBC"/>
    <w:rsid w:val="002F1BA9"/>
    <w:rsid w:val="002F6E74"/>
    <w:rsid w:val="003106B3"/>
    <w:rsid w:val="0031385D"/>
    <w:rsid w:val="003171AB"/>
    <w:rsid w:val="003223B2"/>
    <w:rsid w:val="00322A67"/>
    <w:rsid w:val="00330E13"/>
    <w:rsid w:val="00335A23"/>
    <w:rsid w:val="00340707"/>
    <w:rsid w:val="00341C61"/>
    <w:rsid w:val="00351841"/>
    <w:rsid w:val="00357CB8"/>
    <w:rsid w:val="003624A6"/>
    <w:rsid w:val="00364ADF"/>
    <w:rsid w:val="00365C8D"/>
    <w:rsid w:val="003670D9"/>
    <w:rsid w:val="00370B41"/>
    <w:rsid w:val="00371B27"/>
    <w:rsid w:val="003726C3"/>
    <w:rsid w:val="00375D2E"/>
    <w:rsid w:val="00383071"/>
    <w:rsid w:val="00383B19"/>
    <w:rsid w:val="00384CBC"/>
    <w:rsid w:val="00385F2F"/>
    <w:rsid w:val="003933F9"/>
    <w:rsid w:val="00395864"/>
    <w:rsid w:val="00396557"/>
    <w:rsid w:val="00397316"/>
    <w:rsid w:val="003A248F"/>
    <w:rsid w:val="003A4D9C"/>
    <w:rsid w:val="003B1668"/>
    <w:rsid w:val="003C5F4C"/>
    <w:rsid w:val="003D5EA8"/>
    <w:rsid w:val="003D7B28"/>
    <w:rsid w:val="003E305E"/>
    <w:rsid w:val="003E34DB"/>
    <w:rsid w:val="003E5302"/>
    <w:rsid w:val="003E5BF1"/>
    <w:rsid w:val="003F2452"/>
    <w:rsid w:val="003F41EA"/>
    <w:rsid w:val="003F7DF0"/>
    <w:rsid w:val="004039AF"/>
    <w:rsid w:val="00407AFF"/>
    <w:rsid w:val="0041155D"/>
    <w:rsid w:val="004170BF"/>
    <w:rsid w:val="004270E3"/>
    <w:rsid w:val="004348DC"/>
    <w:rsid w:val="00434921"/>
    <w:rsid w:val="00442018"/>
    <w:rsid w:val="00446567"/>
    <w:rsid w:val="00447B10"/>
    <w:rsid w:val="00452EE4"/>
    <w:rsid w:val="00452F0B"/>
    <w:rsid w:val="004536D6"/>
    <w:rsid w:val="00457224"/>
    <w:rsid w:val="0047482C"/>
    <w:rsid w:val="00475436"/>
    <w:rsid w:val="00475922"/>
    <w:rsid w:val="0048047E"/>
    <w:rsid w:val="00482AF9"/>
    <w:rsid w:val="00496BB2"/>
    <w:rsid w:val="004B37B4"/>
    <w:rsid w:val="004B72B4"/>
    <w:rsid w:val="004C0314"/>
    <w:rsid w:val="004C0D3D"/>
    <w:rsid w:val="004C213E"/>
    <w:rsid w:val="004C376C"/>
    <w:rsid w:val="004C657F"/>
    <w:rsid w:val="004D17D8"/>
    <w:rsid w:val="004D52D8"/>
    <w:rsid w:val="004E355B"/>
    <w:rsid w:val="005028E5"/>
    <w:rsid w:val="00503735"/>
    <w:rsid w:val="0050762E"/>
    <w:rsid w:val="00516A88"/>
    <w:rsid w:val="00522065"/>
    <w:rsid w:val="005224F2"/>
    <w:rsid w:val="00533F1C"/>
    <w:rsid w:val="00536D8B"/>
    <w:rsid w:val="005379C3"/>
    <w:rsid w:val="005519C2"/>
    <w:rsid w:val="005523E0"/>
    <w:rsid w:val="0055320F"/>
    <w:rsid w:val="0055699B"/>
    <w:rsid w:val="0056020A"/>
    <w:rsid w:val="00563D3D"/>
    <w:rsid w:val="005659AA"/>
    <w:rsid w:val="005676E8"/>
    <w:rsid w:val="0057370B"/>
    <w:rsid w:val="00575415"/>
    <w:rsid w:val="00577C12"/>
    <w:rsid w:val="00580BFC"/>
    <w:rsid w:val="00581048"/>
    <w:rsid w:val="00581203"/>
    <w:rsid w:val="0058349C"/>
    <w:rsid w:val="00585FBE"/>
    <w:rsid w:val="005870E8"/>
    <w:rsid w:val="0058789C"/>
    <w:rsid w:val="005A4D4E"/>
    <w:rsid w:val="005A7237"/>
    <w:rsid w:val="005B21FA"/>
    <w:rsid w:val="005B3244"/>
    <w:rsid w:val="005B6EE8"/>
    <w:rsid w:val="005B7731"/>
    <w:rsid w:val="005C4515"/>
    <w:rsid w:val="005C5602"/>
    <w:rsid w:val="005C74A6"/>
    <w:rsid w:val="005D3B4D"/>
    <w:rsid w:val="005D615C"/>
    <w:rsid w:val="005E1860"/>
    <w:rsid w:val="005F063B"/>
    <w:rsid w:val="005F192D"/>
    <w:rsid w:val="005F24C8"/>
    <w:rsid w:val="005F26AF"/>
    <w:rsid w:val="00607D6C"/>
    <w:rsid w:val="0061383D"/>
    <w:rsid w:val="00614D69"/>
    <w:rsid w:val="00617030"/>
    <w:rsid w:val="00621301"/>
    <w:rsid w:val="0062173F"/>
    <w:rsid w:val="006235FB"/>
    <w:rsid w:val="00626A15"/>
    <w:rsid w:val="006379E9"/>
    <w:rsid w:val="006438CB"/>
    <w:rsid w:val="006529B9"/>
    <w:rsid w:val="00654695"/>
    <w:rsid w:val="0065500A"/>
    <w:rsid w:val="00655217"/>
    <w:rsid w:val="0065727C"/>
    <w:rsid w:val="00674A78"/>
    <w:rsid w:val="00696A16"/>
    <w:rsid w:val="006A4840"/>
    <w:rsid w:val="006A52A0"/>
    <w:rsid w:val="006A7E1D"/>
    <w:rsid w:val="006C3A56"/>
    <w:rsid w:val="006C4037"/>
    <w:rsid w:val="006D13F4"/>
    <w:rsid w:val="006D6AED"/>
    <w:rsid w:val="006E6D0B"/>
    <w:rsid w:val="006F126E"/>
    <w:rsid w:val="006F32C9"/>
    <w:rsid w:val="006F3834"/>
    <w:rsid w:val="006F5693"/>
    <w:rsid w:val="006F5D4C"/>
    <w:rsid w:val="00717B01"/>
    <w:rsid w:val="007227D9"/>
    <w:rsid w:val="0072491F"/>
    <w:rsid w:val="00725598"/>
    <w:rsid w:val="007374A1"/>
    <w:rsid w:val="00752712"/>
    <w:rsid w:val="00753A84"/>
    <w:rsid w:val="007611F5"/>
    <w:rsid w:val="007619E4"/>
    <w:rsid w:val="00761E75"/>
    <w:rsid w:val="0076495E"/>
    <w:rsid w:val="00765FC8"/>
    <w:rsid w:val="00775694"/>
    <w:rsid w:val="00793F46"/>
    <w:rsid w:val="007A1325"/>
    <w:rsid w:val="007A1A18"/>
    <w:rsid w:val="007A3BAF"/>
    <w:rsid w:val="007B53D8"/>
    <w:rsid w:val="007C22C5"/>
    <w:rsid w:val="007C57E1"/>
    <w:rsid w:val="007C5811"/>
    <w:rsid w:val="007D2DF5"/>
    <w:rsid w:val="007D451A"/>
    <w:rsid w:val="007D5E3E"/>
    <w:rsid w:val="007D7596"/>
    <w:rsid w:val="007E242C"/>
    <w:rsid w:val="007E6631"/>
    <w:rsid w:val="00803A12"/>
    <w:rsid w:val="00805417"/>
    <w:rsid w:val="00816AD1"/>
    <w:rsid w:val="00824729"/>
    <w:rsid w:val="008266F9"/>
    <w:rsid w:val="008267E2"/>
    <w:rsid w:val="00826A9B"/>
    <w:rsid w:val="00834842"/>
    <w:rsid w:val="00840E7B"/>
    <w:rsid w:val="008536AF"/>
    <w:rsid w:val="00853D40"/>
    <w:rsid w:val="008564FC"/>
    <w:rsid w:val="00864E76"/>
    <w:rsid w:val="00872581"/>
    <w:rsid w:val="0087459D"/>
    <w:rsid w:val="0087680F"/>
    <w:rsid w:val="00876D81"/>
    <w:rsid w:val="00881D86"/>
    <w:rsid w:val="00883306"/>
    <w:rsid w:val="008904F9"/>
    <w:rsid w:val="00890E4C"/>
    <w:rsid w:val="00890E74"/>
    <w:rsid w:val="00892798"/>
    <w:rsid w:val="0089418F"/>
    <w:rsid w:val="00895B27"/>
    <w:rsid w:val="00897C29"/>
    <w:rsid w:val="008A1A9C"/>
    <w:rsid w:val="008A4633"/>
    <w:rsid w:val="008B032E"/>
    <w:rsid w:val="008C0FA2"/>
    <w:rsid w:val="008C2342"/>
    <w:rsid w:val="008C77B6"/>
    <w:rsid w:val="008D1B91"/>
    <w:rsid w:val="008D724A"/>
    <w:rsid w:val="008E7A3E"/>
    <w:rsid w:val="008F3F2A"/>
    <w:rsid w:val="008F41FD"/>
    <w:rsid w:val="008F4479"/>
    <w:rsid w:val="008F4BA0"/>
    <w:rsid w:val="008F615B"/>
    <w:rsid w:val="00901726"/>
    <w:rsid w:val="00920E6A"/>
    <w:rsid w:val="00931816"/>
    <w:rsid w:val="00932C71"/>
    <w:rsid w:val="00944B44"/>
    <w:rsid w:val="009509D5"/>
    <w:rsid w:val="009538F5"/>
    <w:rsid w:val="00957187"/>
    <w:rsid w:val="00960255"/>
    <w:rsid w:val="009603E1"/>
    <w:rsid w:val="00961C9D"/>
    <w:rsid w:val="00963065"/>
    <w:rsid w:val="0097151F"/>
    <w:rsid w:val="00973777"/>
    <w:rsid w:val="00976E78"/>
    <w:rsid w:val="009775C0"/>
    <w:rsid w:val="00981F23"/>
    <w:rsid w:val="00990634"/>
    <w:rsid w:val="00991733"/>
    <w:rsid w:val="00992078"/>
    <w:rsid w:val="00992BE3"/>
    <w:rsid w:val="009A1467"/>
    <w:rsid w:val="009A6464"/>
    <w:rsid w:val="009B69F5"/>
    <w:rsid w:val="009C5FF7"/>
    <w:rsid w:val="009C6292"/>
    <w:rsid w:val="009D15DB"/>
    <w:rsid w:val="009D3133"/>
    <w:rsid w:val="009E160D"/>
    <w:rsid w:val="009F1CBB"/>
    <w:rsid w:val="009F3305"/>
    <w:rsid w:val="009F6FB2"/>
    <w:rsid w:val="00A071C0"/>
    <w:rsid w:val="00A22670"/>
    <w:rsid w:val="00A24B35"/>
    <w:rsid w:val="00A271BA"/>
    <w:rsid w:val="00A27F86"/>
    <w:rsid w:val="00A431C6"/>
    <w:rsid w:val="00A54315"/>
    <w:rsid w:val="00A60FBC"/>
    <w:rsid w:val="00A65C0B"/>
    <w:rsid w:val="00A70F3D"/>
    <w:rsid w:val="00A776BA"/>
    <w:rsid w:val="00A81FD2"/>
    <w:rsid w:val="00A8441A"/>
    <w:rsid w:val="00A8674A"/>
    <w:rsid w:val="00A96E24"/>
    <w:rsid w:val="00AA6F6E"/>
    <w:rsid w:val="00AB122B"/>
    <w:rsid w:val="00AB21B0"/>
    <w:rsid w:val="00AB48D3"/>
    <w:rsid w:val="00AE0243"/>
    <w:rsid w:val="00AE1BAD"/>
    <w:rsid w:val="00AE2124"/>
    <w:rsid w:val="00AE24BC"/>
    <w:rsid w:val="00AE3E3F"/>
    <w:rsid w:val="00AF2516"/>
    <w:rsid w:val="00AF4760"/>
    <w:rsid w:val="00AF55D4"/>
    <w:rsid w:val="00B0505F"/>
    <w:rsid w:val="00B05C2D"/>
    <w:rsid w:val="00B12933"/>
    <w:rsid w:val="00B12B88"/>
    <w:rsid w:val="00B137E0"/>
    <w:rsid w:val="00B13BC8"/>
    <w:rsid w:val="00B24662"/>
    <w:rsid w:val="00B3569C"/>
    <w:rsid w:val="00B43676"/>
    <w:rsid w:val="00B5602D"/>
    <w:rsid w:val="00B60125"/>
    <w:rsid w:val="00B6656B"/>
    <w:rsid w:val="00B71625"/>
    <w:rsid w:val="00B75C54"/>
    <w:rsid w:val="00B8710E"/>
    <w:rsid w:val="00B92A93"/>
    <w:rsid w:val="00BA17A8"/>
    <w:rsid w:val="00BA3C33"/>
    <w:rsid w:val="00BB0878"/>
    <w:rsid w:val="00BB1879"/>
    <w:rsid w:val="00BC0ABE"/>
    <w:rsid w:val="00BC30DB"/>
    <w:rsid w:val="00BC64FF"/>
    <w:rsid w:val="00BC7C37"/>
    <w:rsid w:val="00BD2244"/>
    <w:rsid w:val="00BE6472"/>
    <w:rsid w:val="00BF29B8"/>
    <w:rsid w:val="00BF46EA"/>
    <w:rsid w:val="00C07769"/>
    <w:rsid w:val="00C07D05"/>
    <w:rsid w:val="00C10856"/>
    <w:rsid w:val="00C203FA"/>
    <w:rsid w:val="00C244F5"/>
    <w:rsid w:val="00C3164F"/>
    <w:rsid w:val="00C31B5E"/>
    <w:rsid w:val="00C34D3E"/>
    <w:rsid w:val="00C35B37"/>
    <w:rsid w:val="00C3747A"/>
    <w:rsid w:val="00C37F29"/>
    <w:rsid w:val="00C56DCC"/>
    <w:rsid w:val="00C57075"/>
    <w:rsid w:val="00C72AFE"/>
    <w:rsid w:val="00C81619"/>
    <w:rsid w:val="00CA013C"/>
    <w:rsid w:val="00CA6D6D"/>
    <w:rsid w:val="00CC7A4E"/>
    <w:rsid w:val="00CD1359"/>
    <w:rsid w:val="00CD4C83"/>
    <w:rsid w:val="00D01EDC"/>
    <w:rsid w:val="00D078AA"/>
    <w:rsid w:val="00D10058"/>
    <w:rsid w:val="00D11978"/>
    <w:rsid w:val="00D15E30"/>
    <w:rsid w:val="00D16129"/>
    <w:rsid w:val="00D22BCB"/>
    <w:rsid w:val="00D25DBD"/>
    <w:rsid w:val="00D26929"/>
    <w:rsid w:val="00D30CBD"/>
    <w:rsid w:val="00D30D9E"/>
    <w:rsid w:val="00D33908"/>
    <w:rsid w:val="00D354F2"/>
    <w:rsid w:val="00D36C30"/>
    <w:rsid w:val="00D37C90"/>
    <w:rsid w:val="00D43A8C"/>
    <w:rsid w:val="00D4574D"/>
    <w:rsid w:val="00D53072"/>
    <w:rsid w:val="00D61A4E"/>
    <w:rsid w:val="00D634EA"/>
    <w:rsid w:val="00D713A1"/>
    <w:rsid w:val="00D77956"/>
    <w:rsid w:val="00D80F0C"/>
    <w:rsid w:val="00D92077"/>
    <w:rsid w:val="00D951E2"/>
    <w:rsid w:val="00D9565A"/>
    <w:rsid w:val="00DB2337"/>
    <w:rsid w:val="00DB5F87"/>
    <w:rsid w:val="00DB699B"/>
    <w:rsid w:val="00DC0376"/>
    <w:rsid w:val="00DC099B"/>
    <w:rsid w:val="00DC2BE5"/>
    <w:rsid w:val="00DD4CD4"/>
    <w:rsid w:val="00DD65A2"/>
    <w:rsid w:val="00DD6770"/>
    <w:rsid w:val="00DE0749"/>
    <w:rsid w:val="00DE1CE2"/>
    <w:rsid w:val="00DF1210"/>
    <w:rsid w:val="00DF31E9"/>
    <w:rsid w:val="00DF400D"/>
    <w:rsid w:val="00DF5C23"/>
    <w:rsid w:val="00E01DAD"/>
    <w:rsid w:val="00E021DC"/>
    <w:rsid w:val="00E03F91"/>
    <w:rsid w:val="00E064EF"/>
    <w:rsid w:val="00E064F2"/>
    <w:rsid w:val="00E0717B"/>
    <w:rsid w:val="00E15598"/>
    <w:rsid w:val="00E20D65"/>
    <w:rsid w:val="00E353A2"/>
    <w:rsid w:val="00E36881"/>
    <w:rsid w:val="00E42E4C"/>
    <w:rsid w:val="00E47013"/>
    <w:rsid w:val="00E541F9"/>
    <w:rsid w:val="00E57B79"/>
    <w:rsid w:val="00E63419"/>
    <w:rsid w:val="00E64496"/>
    <w:rsid w:val="00E72115"/>
    <w:rsid w:val="00E8322E"/>
    <w:rsid w:val="00E903E0"/>
    <w:rsid w:val="00EA1115"/>
    <w:rsid w:val="00EA39EB"/>
    <w:rsid w:val="00EA58CE"/>
    <w:rsid w:val="00EB33FF"/>
    <w:rsid w:val="00EB3D1A"/>
    <w:rsid w:val="00EC2759"/>
    <w:rsid w:val="00EC7106"/>
    <w:rsid w:val="00ED0120"/>
    <w:rsid w:val="00ED3BBA"/>
    <w:rsid w:val="00ED4184"/>
    <w:rsid w:val="00ED4E12"/>
    <w:rsid w:val="00EE051B"/>
    <w:rsid w:val="00EE54B4"/>
    <w:rsid w:val="00EF1AD8"/>
    <w:rsid w:val="00EF2B5C"/>
    <w:rsid w:val="00EF7794"/>
    <w:rsid w:val="00F02046"/>
    <w:rsid w:val="00F053D8"/>
    <w:rsid w:val="00F07888"/>
    <w:rsid w:val="00F1313D"/>
    <w:rsid w:val="00F201E7"/>
    <w:rsid w:val="00F204E0"/>
    <w:rsid w:val="00F20B16"/>
    <w:rsid w:val="00F21C79"/>
    <w:rsid w:val="00F238C9"/>
    <w:rsid w:val="00F23CA5"/>
    <w:rsid w:val="00F277AA"/>
    <w:rsid w:val="00F31955"/>
    <w:rsid w:val="00F34C06"/>
    <w:rsid w:val="00F43EA3"/>
    <w:rsid w:val="00F50C55"/>
    <w:rsid w:val="00F57FFB"/>
    <w:rsid w:val="00F601E6"/>
    <w:rsid w:val="00F73954"/>
    <w:rsid w:val="00F94060"/>
    <w:rsid w:val="00FA56F6"/>
    <w:rsid w:val="00FB329D"/>
    <w:rsid w:val="00FC27E3"/>
    <w:rsid w:val="00FC303D"/>
    <w:rsid w:val="00FC74C7"/>
    <w:rsid w:val="00FD451D"/>
    <w:rsid w:val="00FD5B22"/>
    <w:rsid w:val="00FE1B0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1AEE5AE"/>
  <w14:defaultImageDpi w14:val="300"/>
  <w15:docId w15:val="{87ACE37A-0C5A-EE49-B6C4-4D69D9F47D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aliases w:val="Normal/Card"/>
    <w:qFormat/>
    <w:rsid w:val="00116460"/>
    <w:pPr>
      <w:spacing w:after="160" w:line="259" w:lineRule="auto"/>
    </w:pPr>
    <w:rPr>
      <w:rFonts w:ascii="Calibri" w:hAnsi="Calibri"/>
      <w:sz w:val="22"/>
    </w:rPr>
  </w:style>
  <w:style w:type="paragraph" w:styleId="Heading1">
    <w:name w:val="heading 1"/>
    <w:aliases w:val="Pocket"/>
    <w:basedOn w:val="Normal"/>
    <w:next w:val="Normal"/>
    <w:link w:val="Heading1Char"/>
    <w:uiPriority w:val="9"/>
    <w:qFormat/>
    <w:rsid w:val="00116460"/>
    <w:pPr>
      <w:keepNext/>
      <w:keepLines/>
      <w:pageBreakBefore/>
      <w:pBdr>
        <w:top w:val="single" w:sz="24" w:space="1" w:color="auto"/>
        <w:left w:val="single" w:sz="24" w:space="4" w:color="auto"/>
        <w:bottom w:val="single" w:sz="24" w:space="1" w:color="auto"/>
        <w:right w:val="single" w:sz="24" w:space="4" w:color="auto"/>
      </w:pBdr>
      <w:spacing w:before="240" w:after="0"/>
      <w:jc w:val="center"/>
      <w:outlineLvl w:val="0"/>
    </w:pPr>
    <w:rPr>
      <w:rFonts w:eastAsiaTheme="majorEastAsia" w:cstheme="majorBidi"/>
      <w:b/>
      <w:bCs/>
      <w:sz w:val="52"/>
      <w:szCs w:val="32"/>
    </w:rPr>
  </w:style>
  <w:style w:type="paragraph" w:styleId="Heading2">
    <w:name w:val="heading 2"/>
    <w:aliases w:val="Hat"/>
    <w:basedOn w:val="Normal"/>
    <w:next w:val="Normal"/>
    <w:link w:val="Heading2Char"/>
    <w:uiPriority w:val="9"/>
    <w:unhideWhenUsed/>
    <w:qFormat/>
    <w:rsid w:val="00116460"/>
    <w:pPr>
      <w:keepNext/>
      <w:keepLines/>
      <w:pageBreakBefore/>
      <w:spacing w:before="40" w:after="0"/>
      <w:jc w:val="center"/>
      <w:outlineLvl w:val="1"/>
    </w:pPr>
    <w:rPr>
      <w:rFonts w:eastAsiaTheme="majorEastAsia" w:cstheme="majorBidi"/>
      <w:b/>
      <w:bCs/>
      <w:sz w:val="44"/>
      <w:szCs w:val="44"/>
      <w:u w:val="double"/>
    </w:rPr>
  </w:style>
  <w:style w:type="paragraph" w:styleId="Heading3">
    <w:name w:val="heading 3"/>
    <w:aliases w:val="Block"/>
    <w:basedOn w:val="Normal"/>
    <w:next w:val="Normal"/>
    <w:link w:val="Heading3Char"/>
    <w:uiPriority w:val="9"/>
    <w:unhideWhenUsed/>
    <w:qFormat/>
    <w:rsid w:val="00116460"/>
    <w:pPr>
      <w:keepNext/>
      <w:keepLines/>
      <w:pageBreakBefore/>
      <w:spacing w:before="40" w:after="0"/>
      <w:jc w:val="center"/>
      <w:outlineLvl w:val="2"/>
    </w:pPr>
    <w:rPr>
      <w:rFonts w:eastAsiaTheme="majorEastAsia" w:cstheme="majorBidi"/>
      <w:b/>
      <w:bCs/>
      <w:sz w:val="32"/>
      <w:szCs w:val="32"/>
      <w:u w:val="single"/>
    </w:rPr>
  </w:style>
  <w:style w:type="paragraph" w:styleId="Heading4">
    <w:name w:val="heading 4"/>
    <w:aliases w:val="Tag"/>
    <w:basedOn w:val="Normal"/>
    <w:next w:val="Normal"/>
    <w:link w:val="Heading4Char"/>
    <w:uiPriority w:val="9"/>
    <w:unhideWhenUsed/>
    <w:qFormat/>
    <w:rsid w:val="00116460"/>
    <w:pPr>
      <w:keepNext/>
      <w:keepLines/>
      <w:spacing w:before="40" w:after="0"/>
      <w:outlineLvl w:val="3"/>
    </w:pPr>
    <w:rPr>
      <w:rFonts w:eastAsiaTheme="majorEastAsia" w:cstheme="majorBidi"/>
      <w:b/>
      <w:bCs/>
      <w:sz w:val="26"/>
      <w:szCs w:val="26"/>
    </w:rPr>
  </w:style>
  <w:style w:type="character" w:default="1" w:styleId="DefaultParagraphFont">
    <w:name w:val="Default Paragraph Font"/>
    <w:uiPriority w:val="1"/>
    <w:semiHidden/>
    <w:unhideWhenUsed/>
    <w:rsid w:val="00116460"/>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rsid w:val="00116460"/>
  </w:style>
  <w:style w:type="character" w:customStyle="1" w:styleId="Heading1Char">
    <w:name w:val="Heading 1 Char"/>
    <w:aliases w:val="Pocket Char"/>
    <w:basedOn w:val="DefaultParagraphFont"/>
    <w:link w:val="Heading1"/>
    <w:uiPriority w:val="9"/>
    <w:rsid w:val="00116460"/>
    <w:rPr>
      <w:rFonts w:ascii="Calibri" w:eastAsiaTheme="majorEastAsia" w:hAnsi="Calibri" w:cstheme="majorBidi"/>
      <w:b/>
      <w:bCs/>
      <w:sz w:val="52"/>
      <w:szCs w:val="32"/>
    </w:rPr>
  </w:style>
  <w:style w:type="character" w:customStyle="1" w:styleId="Heading2Char">
    <w:name w:val="Heading 2 Char"/>
    <w:aliases w:val="Hat Char"/>
    <w:basedOn w:val="DefaultParagraphFont"/>
    <w:link w:val="Heading2"/>
    <w:uiPriority w:val="9"/>
    <w:rsid w:val="00116460"/>
    <w:rPr>
      <w:rFonts w:ascii="Calibri" w:eastAsiaTheme="majorEastAsia" w:hAnsi="Calibri" w:cstheme="majorBidi"/>
      <w:b/>
      <w:bCs/>
      <w:sz w:val="44"/>
      <w:szCs w:val="44"/>
      <w:u w:val="double"/>
    </w:rPr>
  </w:style>
  <w:style w:type="character" w:customStyle="1" w:styleId="Heading3Char">
    <w:name w:val="Heading 3 Char"/>
    <w:aliases w:val="Block Char"/>
    <w:basedOn w:val="DefaultParagraphFont"/>
    <w:link w:val="Heading3"/>
    <w:uiPriority w:val="9"/>
    <w:rsid w:val="00116460"/>
    <w:rPr>
      <w:rFonts w:ascii="Calibri" w:eastAsiaTheme="majorEastAsia" w:hAnsi="Calibri" w:cstheme="majorBidi"/>
      <w:b/>
      <w:bCs/>
      <w:sz w:val="32"/>
      <w:szCs w:val="32"/>
      <w:u w:val="single"/>
    </w:rPr>
  </w:style>
  <w:style w:type="character" w:customStyle="1" w:styleId="Heading4Char">
    <w:name w:val="Heading 4 Char"/>
    <w:aliases w:val="Tag Char"/>
    <w:basedOn w:val="DefaultParagraphFont"/>
    <w:link w:val="Heading4"/>
    <w:uiPriority w:val="9"/>
    <w:rsid w:val="00116460"/>
    <w:rPr>
      <w:rFonts w:ascii="Calibri" w:eastAsiaTheme="majorEastAsia" w:hAnsi="Calibri" w:cstheme="majorBidi"/>
      <w:b/>
      <w:bCs/>
      <w:sz w:val="26"/>
      <w:szCs w:val="26"/>
    </w:rPr>
  </w:style>
  <w:style w:type="character" w:customStyle="1" w:styleId="Style13ptBold">
    <w:name w:val="Style 13 pt Bold"/>
    <w:aliases w:val="Cite,Style Style Bold + 12 pt,Style Style Bold + 12pt,Style Style Bold,Style Style + 12 pt,Style Style Bo... +,Old Cite,Style Style Bold + 10 pt,tagld + 12 pt,Style Style Bold + 13 pt,Style Style Bold + 11 pt,tag + 12 pt,Not...,Not.,Not"/>
    <w:basedOn w:val="DefaultParagraphFont"/>
    <w:uiPriority w:val="1"/>
    <w:qFormat/>
    <w:rsid w:val="00116460"/>
    <w:rPr>
      <w:b/>
      <w:sz w:val="26"/>
      <w:u w:val="none"/>
    </w:rPr>
  </w:style>
  <w:style w:type="character" w:customStyle="1" w:styleId="StyleUnderline">
    <w:name w:val="Style Underline"/>
    <w:aliases w:val="Underline,Style Bold Underline,Intense Emphasis1,apple-style-span + 6 pt,Bold,Kern at 16 pt,Intense Emphasis11,Style,Intense Emphasis2,Intense Emphasis111,Intense Emphasis3,Intense Emphasis1111,Intense Emphasis4,HHeading 3 + 12 pt,ci,c,B"/>
    <w:basedOn w:val="DefaultParagraphFont"/>
    <w:uiPriority w:val="1"/>
    <w:qFormat/>
    <w:rsid w:val="00116460"/>
    <w:rPr>
      <w:b/>
      <w:sz w:val="22"/>
      <w:u w:val="single"/>
    </w:rPr>
  </w:style>
  <w:style w:type="character" w:styleId="Emphasis">
    <w:name w:val="Emphasis"/>
    <w:aliases w:val="Bold Underline,Minimized,Highlighted,Evidence,minimized,tag2,Size 10,emphasis in card,CD Card,ED - Tag,Underlined,emphasis,Emphasis!!,small,Qualifications,bold underline,Shrunk,normal card text,qualifications in card,qualifications,Style1,Box,s"/>
    <w:basedOn w:val="DefaultParagraphFont"/>
    <w:link w:val="Emphasis1"/>
    <w:uiPriority w:val="20"/>
    <w:qFormat/>
    <w:rsid w:val="00116460"/>
    <w:rPr>
      <w:rFonts w:ascii="Calibri" w:hAnsi="Calibri"/>
      <w:b/>
      <w:i w:val="0"/>
      <w:iCs/>
      <w:sz w:val="22"/>
      <w:u w:val="single"/>
      <w:bdr w:val="single" w:sz="8" w:space="0" w:color="auto"/>
    </w:rPr>
  </w:style>
  <w:style w:type="character" w:styleId="FollowedHyperlink">
    <w:name w:val="FollowedHyperlink"/>
    <w:basedOn w:val="DefaultParagraphFont"/>
    <w:uiPriority w:val="99"/>
    <w:semiHidden/>
    <w:unhideWhenUsed/>
    <w:rsid w:val="00116460"/>
    <w:rPr>
      <w:color w:val="auto"/>
      <w:u w:val="none"/>
    </w:rPr>
  </w:style>
  <w:style w:type="character" w:styleId="Hyperlink">
    <w:name w:val="Hyperlink"/>
    <w:basedOn w:val="DefaultParagraphFont"/>
    <w:uiPriority w:val="99"/>
    <w:semiHidden/>
    <w:unhideWhenUsed/>
    <w:rsid w:val="00116460"/>
    <w:rPr>
      <w:color w:val="auto"/>
      <w:u w:val="none"/>
    </w:rPr>
  </w:style>
  <w:style w:type="paragraph" w:styleId="DocumentMap">
    <w:name w:val="Document Map"/>
    <w:basedOn w:val="Normal"/>
    <w:link w:val="DocumentMapChar"/>
    <w:uiPriority w:val="99"/>
    <w:semiHidden/>
    <w:unhideWhenUsed/>
    <w:rsid w:val="00116460"/>
    <w:pPr>
      <w:spacing w:after="0" w:line="240" w:lineRule="auto"/>
    </w:pPr>
    <w:rPr>
      <w:rFonts w:ascii="Lucida Grande" w:hAnsi="Lucida Grande" w:cs="Lucida Grande"/>
      <w:sz w:val="24"/>
    </w:rPr>
  </w:style>
  <w:style w:type="character" w:customStyle="1" w:styleId="DocumentMapChar">
    <w:name w:val="Document Map Char"/>
    <w:basedOn w:val="DefaultParagraphFont"/>
    <w:link w:val="DocumentMap"/>
    <w:uiPriority w:val="99"/>
    <w:semiHidden/>
    <w:rsid w:val="00116460"/>
    <w:rPr>
      <w:rFonts w:ascii="Lucida Grande" w:hAnsi="Lucida Grande" w:cs="Lucida Grande"/>
    </w:rPr>
  </w:style>
  <w:style w:type="paragraph" w:customStyle="1" w:styleId="Emphasis1">
    <w:name w:val="Emphasis1"/>
    <w:basedOn w:val="Normal"/>
    <w:link w:val="Emphasis"/>
    <w:uiPriority w:val="20"/>
    <w:qFormat/>
    <w:rsid w:val="00944B44"/>
    <w:pPr>
      <w:pBdr>
        <w:top w:val="single" w:sz="12" w:space="1" w:color="auto"/>
        <w:left w:val="single" w:sz="12" w:space="4" w:color="auto"/>
        <w:bottom w:val="single" w:sz="12" w:space="1" w:color="auto"/>
        <w:right w:val="single" w:sz="12" w:space="4" w:color="auto"/>
      </w:pBdr>
      <w:ind w:left="720"/>
      <w:jc w:val="both"/>
    </w:pPr>
    <w:rPr>
      <w:b/>
      <w:iCs/>
      <w:u w:val="single"/>
      <w:bdr w:val="single" w:sz="8" w:space="0" w:color="auto"/>
    </w:rPr>
  </w:style>
  <w:style w:type="paragraph" w:customStyle="1" w:styleId="textbold">
    <w:name w:val="text bold"/>
    <w:basedOn w:val="Normal"/>
    <w:uiPriority w:val="20"/>
    <w:qFormat/>
    <w:rsid w:val="0057370B"/>
    <w:pPr>
      <w:pBdr>
        <w:top w:val="single" w:sz="4" w:space="0" w:color="auto"/>
        <w:left w:val="single" w:sz="4" w:space="0" w:color="auto"/>
        <w:bottom w:val="single" w:sz="4" w:space="0" w:color="auto"/>
        <w:right w:val="single" w:sz="4" w:space="0" w:color="auto"/>
      </w:pBdr>
      <w:ind w:left="720"/>
      <w:jc w:val="both"/>
    </w:pPr>
    <w:rPr>
      <w:b/>
      <w:iCs/>
      <w:u w:val="single"/>
      <w:bdr w:val="single" w:sz="8" w:space="0" w:color="auto"/>
    </w:rPr>
  </w:style>
  <w:style w:type="paragraph" w:customStyle="1" w:styleId="CardsFont12pt">
    <w:name w:val="Cards + Font: 12 pt"/>
    <w:aliases w:val="Thick Underline,Thick Underline Char,Cards + Font: 12 pt Char Char Char,Cards + Font: 12 pt Char Char Char Char Char Char Char Char,Cards + Font: 12 pt Char Char Char Char Char Char Char,Thick Underline Char1"/>
    <w:next w:val="Normal"/>
    <w:uiPriority w:val="1"/>
    <w:qFormat/>
    <w:rsid w:val="0057370B"/>
    <w:rPr>
      <w:b/>
      <w:sz w:val="22"/>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5" Type="http://schemas.openxmlformats.org/officeDocument/2006/relationships/numbering" Target="numbering.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rsferdowsian/Library/Group%20Containers/UBF8T346G9.Office/User%20Content.localized/Templates.localized/Debat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3B7048220BF6294AA81A81154006E0AD" ma:contentTypeVersion="1" ma:contentTypeDescription="Create a new document." ma:contentTypeScope="" ma:versionID="758fa84223e1315f6f570b93833ff203">
  <xsd:schema xmlns:xsd="http://www.w3.org/2001/XMLSchema" xmlns:xs="http://www.w3.org/2001/XMLSchema" xmlns:p="http://schemas.microsoft.com/office/2006/metadata/properties" targetNamespace="http://schemas.microsoft.com/office/2006/metadata/properties" ma:root="true" ma:fieldsID="d7e1f43ebed5d78fff7f4615dbc6b383">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C695485-26C2-4287-99C4-620F927462C0}">
  <ds:schemaRefs>
    <ds:schemaRef ds:uri="http://schemas.microsoft.com/sharepoint/v3/contenttype/forms"/>
  </ds:schemaRefs>
</ds:datastoreItem>
</file>

<file path=customXml/itemProps2.xml><?xml version="1.0" encoding="utf-8"?>
<ds:datastoreItem xmlns:ds="http://schemas.openxmlformats.org/officeDocument/2006/customXml" ds:itemID="{A96B8D91-DB37-4A6B-BB98-F47F5C30BC7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8B90BFFB-A158-405F-A8B0-58A27F10BCEB}">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32AA9141-E3D7-3C40-9A6F-2FA6289DFF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Debate.dotm</Template>
  <TotalTime>19</TotalTime>
  <Pages>1</Pages>
  <Words>4680</Words>
  <Characters>26676</Characters>
  <Application>Microsoft Office Word</Application>
  <DocSecurity>0</DocSecurity>
  <Lines>222</Lines>
  <Paragraphs>62</Paragraphs>
  <ScaleCrop>false</ScaleCrop>
  <HeadingPairs>
    <vt:vector size="2" baseType="variant">
      <vt:variant>
        <vt:lpstr>Title</vt:lpstr>
      </vt:variant>
      <vt:variant>
        <vt:i4>1</vt:i4>
      </vt:variant>
    </vt:vector>
  </HeadingPairs>
  <TitlesOfParts>
    <vt:vector size="1" baseType="lpstr">
      <vt:lpstr>Verbatim Mac</vt:lpstr>
    </vt:vector>
  </TitlesOfParts>
  <Manager/>
  <Company>Ashtar Communications</Company>
  <LinksUpToDate>false</LinksUpToDate>
  <CharactersWithSpaces>31294</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Verbatim Mac</dc:title>
  <dc:subject/>
  <dc:creator>Ryan Ferdowsian</dc:creator>
  <cp:keywords>5.2</cp:keywords>
  <dc:description/>
  <cp:lastModifiedBy>Ryan Ferdowsian</cp:lastModifiedBy>
  <cp:revision>13</cp:revision>
  <dcterms:created xsi:type="dcterms:W3CDTF">2018-08-02T22:09:00Z</dcterms:created>
  <dcterms:modified xsi:type="dcterms:W3CDTF">2018-08-02T23:19:00Z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0x0101003B7048220BF6294AA81A81154006E0AD</vt:lpwstr>
  </property>
</Properties>
</file>